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9d84ab15de1c52715671f013a881cbcc91746e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Intel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$102.81；距</w:t>
      </w:r>
      <w:r>
        <w:t xml:space="preserve"> 2026-06-22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-28.1%。主题：x86</w:t>
      </w:r>
      <w:r>
        <w:t xml:space="preserve"> CPU + foundry turnaround </w:t>
      </w:r>
      <w:r>
        <w:rPr>
          <w:rFonts w:hint="eastAsia"/>
        </w:rPr>
        <w:t xml:space="preserve">x86+代工转型。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69.5%，一致预期</w:t>
      </w:r>
      <w:r>
        <w:t xml:space="preserve"> </w:t>
      </w:r>
      <w:r>
        <w:rPr>
          <w:rFonts w:hint="eastAsia"/>
        </w:rPr>
        <w:t xml:space="preserve">14.9%；三情景价值</w:t>
      </w:r>
      <w:r>
        <w:t xml:space="preserve"> $5/$12/$20。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2026-10-30（TENTATIVE</w:t>
      </w:r>
      <w:r>
        <w:t xml:space="preserve"> </w:t>
      </w:r>
      <w:r>
        <w:rPr>
          <w:rFonts w:hint="eastAsia"/>
        </w:rPr>
        <w:t xml:space="preserve">直至公司确认）；盯：毛利率、代工亏损、18A良率、DCAI收入、Capex。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x86 CPU + foundry turnaround </w:t>
      </w:r>
      <w:r>
        <w:rPr>
          <w:rFonts w:hint="eastAsia"/>
        </w:rPr>
        <w:t xml:space="preserve">x86+代工转型。持有者在乎的是：英特尔是政府+NVDA+软银入股支撑的转型故事；价值取决于代工能否获得外部大客户与CPU份额止血，属于高不确定性的期权型标的。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69.5%，一致预期</w:t>
      </w:r>
      <w:r>
        <w:t xml:space="preserve"> </w:t>
      </w:r>
      <w:r>
        <w:rPr>
          <w:rFonts w:hint="eastAsia"/>
        </w:rPr>
        <w:t xml:space="preserve">14.9%——市场定价比分析师更乐观。P/E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25.4%）→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40.4%）→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断点：18A/14A</w:t>
      </w:r>
      <w:r>
        <w:t xml:space="preserve">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折现。INTC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40.4%；收入同比</w:t>
      </w:r>
      <w:r>
        <w:t xml:space="preserve"> </w:t>
      </w:r>
      <w:r>
        <w:rPr>
          <w:rFonts w:hint="eastAsia"/>
        </w:rPr>
        <w:t xml:space="preserve">25.4%。新闻多数改变的是现金流预期，而非折现率。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竞争者：AMD,</w:t>
      </w:r>
      <w:r>
        <w:t xml:space="preserve">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CPU、台积电/三星。客户：PC</w:t>
      </w:r>
      <w:r>
        <w:t xml:space="preserve">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others)｜PC厂、服务器、美国政府、潜在代工客户。若</w:t>
      </w:r>
      <w:r>
        <w:t xml:space="preserve"> INTC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看多会错，如果：Foundry</w:t>
      </w:r>
      <w:r>
        <w:t xml:space="preserve">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69.5%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14.9%；近几季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+3162% / 2025-12 +82% / 2026-03 +2109% / 2026-06 +95%。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买方押：14A</w:t>
      </w:r>
      <w:r>
        <w:t xml:space="preserve">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AI拉动服务器CPU；毛利修复。卖方押：Foundry</w:t>
      </w:r>
      <w:r>
        <w:t xml:space="preserve"> losses persist; share loss to AMD/ARM; </w:t>
      </w:r>
      <w:r>
        <w:rPr>
          <w:rFonts w:hint="eastAsia"/>
        </w:rPr>
        <w:t xml:space="preserve">dilution｜代工持续亏损；份额流失；股权稀释。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年以来最大的三次回撤：2021-04→2025-04</w:t>
      </w:r>
      <w:r>
        <w:t xml:space="preserve"> </w:t>
      </w:r>
      <w:r>
        <w:rPr>
          <w:rFonts w:hint="eastAsia"/>
        </w:rPr>
        <w:t xml:space="preserve">-71%；2008-01→2009-02</w:t>
      </w:r>
      <w:r>
        <w:t xml:space="preserve"> </w:t>
      </w:r>
      <w:r>
        <w:rPr>
          <w:rFonts w:hint="eastAsia"/>
        </w:rPr>
        <w:t xml:space="preserve">-51%；2020-01→2020-03</w:t>
      </w:r>
      <w:r>
        <w:t xml:space="preserve"> </w:t>
      </w:r>
      <w:r>
        <w:rPr>
          <w:rFonts w:hint="eastAsia"/>
        </w:rPr>
        <w:t xml:space="preserve">-35%；中位数</w:t>
      </w:r>
      <w:r>
        <w:t xml:space="preserve"> </w:t>
      </w:r>
      <w:r>
        <w:rPr>
          <w:rFonts w:hint="eastAsia"/>
        </w:rPr>
        <w:t xml:space="preserve">-51%。当前距高点</w:t>
      </w:r>
      <w:r>
        <w:t xml:space="preserve"> </w:t>
      </w:r>
      <w:r>
        <w:rPr>
          <w:rFonts w:hint="eastAsia"/>
        </w:rPr>
        <w:t xml:space="preserve">-28.1%。毛利率区间：27.5%–42.6%（本快照内）。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$102.81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$12 </w:t>
      </w:r>
      <w:r>
        <w:rPr>
          <w:rFonts w:hint="eastAsia"/>
        </w:rPr>
        <w:t xml:space="preserve">757.2%，安全边际取决于假设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2021-04→2025-04 </w:t>
      </w:r>
      <w:r>
        <w:rPr>
          <w:rFonts w:hint="eastAsia"/>
        </w:rPr>
        <w:t xml:space="preserve">-71%；2008-01→2009-02</w:t>
      </w:r>
      <w:r>
        <w:t xml:space="preserve"> </w:t>
      </w:r>
      <w:r>
        <w:rPr>
          <w:rFonts w:hint="eastAsia"/>
        </w:rPr>
        <w:t xml:space="preserve">-51%；2020-01→2020-03</w:t>
      </w:r>
      <w:r>
        <w:t xml:space="preserve"> -35%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$102.81 vs Base </w:t>
            </w:r>
            <w:r>
              <w:rPr>
                <w:rFonts w:hint="eastAsia"/>
              </w:rPr>
              <w:t xml:space="preserve">价值</w:t>
            </w:r>
            <w:r>
              <w:t xml:space="preserve"> $12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69.5% vs </w:t>
            </w:r>
            <w:r>
              <w:rPr>
                <w:rFonts w:hint="eastAsia"/>
              </w:rPr>
              <w:t xml:space="preserve">一致预期</w:t>
            </w:r>
            <w:r>
              <w:t xml:space="preserve"> 14.9%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27.5% → 40.4%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+2109% → +95%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+25.4%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-28.1%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25.4%）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40.4%）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GM%, foundry op loss, 18A yield commentary, DCAI revenue, </w:t>
            </w:r>
            <w:r>
              <w:rPr>
                <w:rFonts w:hint="eastAsia"/>
              </w:rPr>
              <w:t xml:space="preserve">capex｜毛利率、代工亏损、18A良率、DCAI收入、Capex</w:t>
            </w:r>
          </w:p>
        </w:tc>
        <w:tc>
          <w:tcPr/>
          <w:p>
            <w:pPr>
              <w:pStyle w:val="Compact"/>
            </w:pPr>
            <w:r>
              <w:t xml:space="preserve">No major external 14A commitment; foundry operating loss not narrowing; GM </w:t>
            </w:r>
            <w:r>
              <w:rPr>
                <w:rFonts w:hint="eastAsia"/>
              </w:rPr>
              <w:t xml:space="preserve">&lt;40%｜无14A外部承诺；代工亏损不收窄；毛利率&lt;40%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69.5%、共识</w:t>
      </w:r>
      <w:r>
        <w:t xml:space="preserve"> </w:t>
      </w:r>
      <w:r>
        <w:rPr>
          <w:rFonts w:hint="eastAsia"/>
        </w:rPr>
        <w:t xml:space="preserve">14.9%。如果公司下季’超预期’但只超共识不超隐含，股价可能怎样？为什么？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40.4%，区间</w:t>
      </w:r>
      <w:r>
        <w:t xml:space="preserve"> </w:t>
      </w:r>
      <w:r>
        <w:rPr>
          <w:rFonts w:hint="eastAsia"/>
        </w:rPr>
        <w:t xml:space="preserve">27.5%–42.6%。用’第一性原理’说明利润率下降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-51%，当前</w:t>
      </w:r>
      <w:r>
        <w:t xml:space="preserve"> </w:t>
      </w:r>
      <w:r>
        <w:rPr>
          <w:rFonts w:hint="eastAsia"/>
        </w:rPr>
        <w:t xml:space="preserve">-28.1%。为什么’已经跌了很多’不能单独作为买入理由？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30-财报后填写"/>
    <w:p>
      <w:pPr>
        <w:pStyle w:val="Heading2"/>
      </w:pPr>
      <w:r>
        <w:rPr>
          <w:rFonts w:hint="eastAsia"/>
        </w:rPr>
        <w:t xml:space="preserve">八、事后推理复盘（2026-10-30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INTC thinking-first edition. Price $102.81; -28.1% from 2026-06-22 high. Reverse DCF: price implies ~69.5% Y1 growth vs consensus 14.9%. Scenario values $5/$12/$20; WACC 13.2%. Base rates: largest drawdowns since 2008: 2021-04→2025-04 </w:t>
      </w:r>
      <w:r>
        <w:rPr>
          <w:rFonts w:hint="eastAsia"/>
        </w:rPr>
        <w:t xml:space="preserve">-71%；2008-01→2009-02</w:t>
      </w:r>
      <w:r>
        <w:t xml:space="preserve"> </w:t>
      </w:r>
      <w:r>
        <w:rPr>
          <w:rFonts w:hint="eastAsia"/>
        </w:rPr>
        <w:t xml:space="preserve">-51%；2020-01→2020-03</w:t>
      </w:r>
      <w:r>
        <w:t xml:space="preserve"> -35%. Evidence weighting 4:9 (bull:bear).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2026-10-14T00:03:57Z</dcterms:created>
  <dcterms:modified xsi:type="dcterms:W3CDTF">2026-10-14T00:03:57Z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