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d14ca276f77d8d9af4c49a9b6d5dec51b84ac3"/>
    <w:p>
      <w:pPr>
        <w:pStyle w:val="Heading1"/>
      </w:pPr>
      <w:r>
        <w:t xml:space="preserve">MRVL Marvell Technology,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$265.86｜市值</w:t>
      </w:r>
      <w:r>
        <w:t xml:space="preserve"> 238.9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Marvell受益于AI光互连(PAM4</w:t>
      </w:r>
      <w:r>
        <w:t xml:space="preserve"> </w:t>
      </w:r>
      <w:r>
        <w:rPr>
          <w:rFonts w:hint="eastAsia"/>
        </w:rPr>
        <w:t xml:space="preserve">DSP)与定制XPU；争议点在定制项目的代际延续性及光DSP是否被CPO侵蚀。</w:t>
      </w:r>
    </w:p>
    <w:p>
      <w:pPr>
        <w:pStyle w:val="Compact"/>
        <w:numPr>
          <w:ilvl w:val="0"/>
          <w:numId w:val="1001"/>
        </w:numPr>
      </w:pPr>
      <w:r>
        <w:rPr>
          <w:rFonts w:hint="eastAsia"/>
          <w:b/>
          <w:bCs/>
        </w:rPr>
        <w:t xml:space="preserve">多头驱动</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1"/>
        </w:numPr>
      </w:pPr>
      <w:r>
        <w:rPr>
          <w:rFonts w:hint="eastAsia"/>
          <w:b/>
          <w:bCs/>
        </w:rPr>
        <w:t xml:space="preserve">空头驱动</w:t>
      </w:r>
      <w:r>
        <w:t xml:space="preserve">: Losing socket to rival; LPO/CPO shrinks DSP </w:t>
      </w:r>
      <w:r>
        <w:rPr>
          <w:rFonts w:hint="eastAsia"/>
        </w:rPr>
        <w:t xml:space="preserve">TAM｜失去关键项目；LPO/CPO压缩DSP市场</w:t>
      </w:r>
    </w:p>
    <w:p>
      <w:pPr>
        <w:pStyle w:val="Compact"/>
        <w:numPr>
          <w:ilvl w:val="0"/>
          <w:numId w:val="1001"/>
        </w:numPr>
      </w:pPr>
      <w:r>
        <w:rPr>
          <w:rFonts w:hint="eastAsia"/>
          <w:b/>
          <w:bCs/>
        </w:rPr>
        <w:t xml:space="preserve">证伪条件</w:t>
      </w:r>
      <w:r>
        <w:rPr>
          <w:b/>
          <w:bCs/>
        </w:rPr>
        <w:t xml:space="preserve"> Falsifiers</w:t>
      </w:r>
      <w:r>
        <w:t xml:space="preserve">: DC revenue guide flat-to-down; customer disclosures of competitor </w:t>
      </w:r>
      <w:r>
        <w:rPr>
          <w:rFonts w:hint="eastAsia"/>
        </w:rPr>
        <w:t xml:space="preserve">sockets｜DC收入指引持平或下降；客户披露换供应商</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Custom ASIC + electro-optics </w:t>
      </w:r>
      <w:r>
        <w:rPr>
          <w:rFonts w:hint="eastAsia"/>
        </w:rPr>
        <w:t xml:space="preserve">定制ASIC+光电DSP</w:t>
      </w:r>
    </w:p>
    <w:p>
      <w:pPr>
        <w:pStyle w:val="Compact"/>
        <w:numPr>
          <w:ilvl w:val="0"/>
          <w:numId w:val="1002"/>
        </w:numPr>
      </w:pPr>
      <w:r>
        <w:rPr>
          <w:rFonts w:hint="eastAsia"/>
        </w:rPr>
        <w:t xml:space="preserve">业务分部</w:t>
      </w:r>
      <w:r>
        <w:t xml:space="preserve"> Segments: Data center (custom+optical DSP) </w:t>
      </w:r>
      <w:r>
        <w:rPr>
          <w:rFonts w:hint="eastAsia"/>
        </w:rPr>
        <w:t xml:space="preserve">数据中心；Enterprise/Carrier</w:t>
      </w:r>
      <w:r>
        <w:t xml:space="preserve"> </w:t>
      </w:r>
      <w:r>
        <w:rPr>
          <w:rFonts w:hint="eastAsia"/>
        </w:rPr>
        <w:t xml:space="preserve">企业/运营商；Consumer/Auto/Industrial</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02"/>
        </w:numPr>
      </w:pPr>
      <w:r>
        <w:rPr>
          <w:rFonts w:hint="eastAsia"/>
        </w:rPr>
        <w:t xml:space="preserve">主要客户:</w:t>
      </w:r>
      <w:r>
        <w:t xml:space="preserve"> AWS (Trainium), Microsoft (Maia), Google, hyperscaler optical module </w:t>
      </w:r>
      <w:r>
        <w:rPr>
          <w:rFonts w:hint="eastAsia"/>
        </w:rPr>
        <w:t xml:space="preserve">makers｜AWS、微软、谷歌、光模块厂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substrate/packaging </w:t>
      </w:r>
      <w:r>
        <w:rPr>
          <w:rFonts w:hint="eastAsia"/>
        </w:rPr>
        <w:t xml:space="preserve">vendors｜台积电、载板/封装</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Alchip, MediaTek, Credo (AECs), Inphi-legacy </w:t>
      </w:r>
      <w:r>
        <w:rPr>
          <w:rFonts w:hint="eastAsia"/>
        </w:rPr>
        <w:t xml:space="preserve">rivals｜博通、世芯、联发科、Credo</w:t>
      </w:r>
    </w:p>
    <w:p>
      <w:pPr>
        <w:pStyle w:val="Compact"/>
        <w:numPr>
          <w:ilvl w:val="0"/>
          <w:numId w:val="1003"/>
        </w:numPr>
      </w:pPr>
      <w:r>
        <w:rPr>
          <w:rFonts w:hint="eastAsia"/>
        </w:rPr>
        <w:t xml:space="preserve">瓶颈/监管:</w:t>
      </w:r>
      <w:r>
        <w:t xml:space="preserve"> Custom program wins/losses, PAM4 DSP vs LPO/CPO </w:t>
      </w:r>
      <w:r>
        <w:rPr>
          <w:rFonts w:hint="eastAsia"/>
        </w:rPr>
        <w:t xml:space="preserve">substitution｜定制项目得失、DSP被LPO/CPO替代</w:t>
      </w:r>
    </w:p>
    <w:p>
      <w:pPr>
        <w:pStyle w:val="Compact"/>
        <w:numPr>
          <w:ilvl w:val="0"/>
          <w:numId w:val="1003"/>
        </w:numPr>
      </w:pPr>
      <w:r>
        <w:rPr>
          <w:rFonts w:hint="eastAsia"/>
        </w:rPr>
        <w:t xml:space="preserve">关键KPI:</w:t>
      </w:r>
      <w:r>
        <w:t xml:space="preserve"> DC revenue, custom revenue, optical DSP revenue, </w:t>
      </w:r>
      <w:r>
        <w:rPr>
          <w:rFonts w:hint="eastAsia"/>
        </w:rPr>
        <w:t xml:space="preserve">GM%｜DC收入、定制收入、光DSP收入、毛利率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5.3 bn </w:t>
      </w:r>
      <w:r>
        <w:rPr>
          <w:rFonts w:hint="eastAsia"/>
        </w:rPr>
        <w:t xml:space="preserve">USD；净现金</w:t>
      </w:r>
      <w:r>
        <w:t xml:space="preserve"> -1.4 bn USD。TTM FCF 1.7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1.10124（34位分析师）；收入一致预期</w:t>
      </w:r>
      <w:r>
        <w:t xml:space="preserve"> 3.2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$43.05</w:t>
            </w:r>
          </w:p>
        </w:tc>
        <w:tc>
          <w:tcPr/>
          <w:p>
            <w:pPr>
              <w:pStyle w:val="Compact"/>
            </w:pPr>
            <w:r>
              <w:t xml:space="preserve">-83.8%</w:t>
            </w:r>
          </w:p>
        </w:tc>
      </w:tr>
      <w:tr>
        <w:tc>
          <w:tcPr/>
          <w:p>
            <w:pPr>
              <w:pStyle w:val="Compact"/>
            </w:pPr>
            <w:r>
              <w:t xml:space="preserve">2Q</w:t>
            </w:r>
          </w:p>
        </w:tc>
        <w:tc>
          <w:tcPr/>
          <w:p>
            <w:pPr>
              <w:pStyle w:val="Compact"/>
            </w:pPr>
            <w:r>
              <w:t xml:space="preserve">Base</w:t>
            </w:r>
          </w:p>
        </w:tc>
        <w:tc>
          <w:tcPr/>
          <w:p>
            <w:pPr>
              <w:pStyle w:val="Compact"/>
            </w:pPr>
            <w:r>
              <w:t xml:space="preserve">$110.62</w:t>
            </w:r>
          </w:p>
        </w:tc>
        <w:tc>
          <w:tcPr/>
          <w:p>
            <w:pPr>
              <w:pStyle w:val="Compact"/>
            </w:pPr>
            <w:r>
              <w:t xml:space="preserve">-58.4%</w:t>
            </w:r>
          </w:p>
        </w:tc>
      </w:tr>
      <w:tr>
        <w:tc>
          <w:tcPr/>
          <w:p>
            <w:pPr>
              <w:pStyle w:val="Compact"/>
            </w:pPr>
            <w:r>
              <w:t xml:space="preserve">2Q</w:t>
            </w:r>
          </w:p>
        </w:tc>
        <w:tc>
          <w:tcPr/>
          <w:p>
            <w:pPr>
              <w:pStyle w:val="Compact"/>
            </w:pPr>
            <w:r>
              <w:t xml:space="preserve">Bull</w:t>
            </w:r>
          </w:p>
        </w:tc>
        <w:tc>
          <w:tcPr/>
          <w:p>
            <w:pPr>
              <w:pStyle w:val="Compact"/>
            </w:pPr>
            <w:r>
              <w:t xml:space="preserve">$195.44</w:t>
            </w:r>
          </w:p>
        </w:tc>
        <w:tc>
          <w:tcPr/>
          <w:p>
            <w:pPr>
              <w:pStyle w:val="Compact"/>
            </w:pPr>
            <w:r>
              <w:t xml:space="preserve">-26.5%</w:t>
            </w:r>
          </w:p>
        </w:tc>
      </w:tr>
      <w:tr>
        <w:tc>
          <w:tcPr/>
          <w:p>
            <w:pPr>
              <w:pStyle w:val="Compact"/>
            </w:pPr>
            <w:r>
              <w:t xml:space="preserve">4Q</w:t>
            </w:r>
          </w:p>
        </w:tc>
        <w:tc>
          <w:tcPr/>
          <w:p>
            <w:pPr>
              <w:pStyle w:val="Compact"/>
            </w:pPr>
            <w:r>
              <w:t xml:space="preserve">Bear</w:t>
            </w:r>
          </w:p>
        </w:tc>
        <w:tc>
          <w:tcPr/>
          <w:p>
            <w:pPr>
              <w:pStyle w:val="Compact"/>
            </w:pPr>
            <w:r>
              <w:t xml:space="preserve">$47.78</w:t>
            </w:r>
          </w:p>
        </w:tc>
        <w:tc>
          <w:tcPr/>
          <w:p>
            <w:pPr>
              <w:pStyle w:val="Compact"/>
            </w:pPr>
            <w:r>
              <w:t xml:space="preserve">-82.0%</w:t>
            </w:r>
          </w:p>
        </w:tc>
      </w:tr>
      <w:tr>
        <w:tc>
          <w:tcPr/>
          <w:p>
            <w:pPr>
              <w:pStyle w:val="Compact"/>
            </w:pPr>
            <w:r>
              <w:t xml:space="preserve">4Q</w:t>
            </w:r>
          </w:p>
        </w:tc>
        <w:tc>
          <w:tcPr/>
          <w:p>
            <w:pPr>
              <w:pStyle w:val="Compact"/>
            </w:pPr>
            <w:r>
              <w:t xml:space="preserve">Base</w:t>
            </w:r>
          </w:p>
        </w:tc>
        <w:tc>
          <w:tcPr/>
          <w:p>
            <w:pPr>
              <w:pStyle w:val="Compact"/>
            </w:pPr>
            <w:r>
              <w:t xml:space="preserve">$140.44</w:t>
            </w:r>
          </w:p>
        </w:tc>
        <w:tc>
          <w:tcPr/>
          <w:p>
            <w:pPr>
              <w:pStyle w:val="Compact"/>
            </w:pPr>
            <w:r>
              <w:t xml:space="preserve">-47.2%</w:t>
            </w:r>
          </w:p>
        </w:tc>
      </w:tr>
      <w:tr>
        <w:tc>
          <w:tcPr/>
          <w:p>
            <w:pPr>
              <w:pStyle w:val="Compact"/>
            </w:pPr>
            <w:r>
              <w:t xml:space="preserve">4Q</w:t>
            </w:r>
          </w:p>
        </w:tc>
        <w:tc>
          <w:tcPr/>
          <w:p>
            <w:pPr>
              <w:pStyle w:val="Compact"/>
            </w:pPr>
            <w:r>
              <w:t xml:space="preserve">Bull</w:t>
            </w:r>
          </w:p>
        </w:tc>
        <w:tc>
          <w:tcPr/>
          <w:p>
            <w:pPr>
              <w:pStyle w:val="Compact"/>
            </w:pPr>
            <w:r>
              <w:t xml:space="preserve">$266.49</w:t>
            </w:r>
          </w:p>
        </w:tc>
        <w:tc>
          <w:tcPr/>
          <w:p>
            <w:pPr>
              <w:pStyle w:val="Compact"/>
            </w:pPr>
            <w:r>
              <w:t xml:space="preserve">0.2%</w:t>
            </w:r>
          </w:p>
        </w:tc>
      </w:tr>
      <w:tr>
        <w:tc>
          <w:tcPr/>
          <w:p>
            <w:pPr>
              <w:pStyle w:val="Compact"/>
            </w:pPr>
            <w:r>
              <w:t xml:space="preserve">6Q</w:t>
            </w:r>
          </w:p>
        </w:tc>
        <w:tc>
          <w:tcPr/>
          <w:p>
            <w:pPr>
              <w:pStyle w:val="Compact"/>
            </w:pPr>
            <w:r>
              <w:t xml:space="preserve">Bear</w:t>
            </w:r>
          </w:p>
        </w:tc>
        <w:tc>
          <w:tcPr/>
          <w:p>
            <w:pPr>
              <w:pStyle w:val="Compact"/>
            </w:pPr>
            <w:r>
              <w:t xml:space="preserve">$52.95</w:t>
            </w:r>
          </w:p>
        </w:tc>
        <w:tc>
          <w:tcPr/>
          <w:p>
            <w:pPr>
              <w:pStyle w:val="Compact"/>
            </w:pPr>
            <w:r>
              <w:t xml:space="preserve">-80.1%</w:t>
            </w:r>
          </w:p>
        </w:tc>
      </w:tr>
      <w:tr>
        <w:tc>
          <w:tcPr/>
          <w:p>
            <w:pPr>
              <w:pStyle w:val="Compact"/>
            </w:pPr>
            <w:r>
              <w:t xml:space="preserve">6Q</w:t>
            </w:r>
          </w:p>
        </w:tc>
        <w:tc>
          <w:tcPr/>
          <w:p>
            <w:pPr>
              <w:pStyle w:val="Compact"/>
            </w:pPr>
            <w:r>
              <w:t xml:space="preserve">Base</w:t>
            </w:r>
          </w:p>
        </w:tc>
        <w:tc>
          <w:tcPr/>
          <w:p>
            <w:pPr>
              <w:pStyle w:val="Compact"/>
            </w:pPr>
            <w:r>
              <w:t xml:space="preserve">$177.66</w:t>
            </w:r>
          </w:p>
        </w:tc>
        <w:tc>
          <w:tcPr/>
          <w:p>
            <w:pPr>
              <w:pStyle w:val="Compact"/>
            </w:pPr>
            <w:r>
              <w:t xml:space="preserve">-33.2%</w:t>
            </w:r>
          </w:p>
        </w:tc>
      </w:tr>
      <w:tr>
        <w:tc>
          <w:tcPr/>
          <w:p>
            <w:pPr>
              <w:pStyle w:val="Compact"/>
            </w:pPr>
            <w:r>
              <w:t xml:space="preserve">6Q</w:t>
            </w:r>
          </w:p>
        </w:tc>
        <w:tc>
          <w:tcPr/>
          <w:p>
            <w:pPr>
              <w:pStyle w:val="Compact"/>
            </w:pPr>
            <w:r>
              <w:t xml:space="preserve">Bull</w:t>
            </w:r>
          </w:p>
        </w:tc>
        <w:tc>
          <w:tcPr/>
          <w:p>
            <w:pPr>
              <w:pStyle w:val="Compact"/>
            </w:pPr>
            <w:r>
              <w:t xml:space="preserve">$361.54</w:t>
            </w:r>
          </w:p>
        </w:tc>
        <w:tc>
          <w:tcPr/>
          <w:p>
            <w:pPr>
              <w:pStyle w:val="Compact"/>
            </w:pPr>
            <w:r>
              <w:t xml:space="preserve">36.0%</w:t>
            </w:r>
          </w:p>
        </w:tc>
      </w:tr>
      <w:tr>
        <w:tc>
          <w:tcPr/>
          <w:p>
            <w:pPr>
              <w:pStyle w:val="Compact"/>
            </w:pPr>
            <w:r>
              <w:t xml:space="preserve">8Q</w:t>
            </w:r>
          </w:p>
        </w:tc>
        <w:tc>
          <w:tcPr/>
          <w:p>
            <w:pPr>
              <w:pStyle w:val="Compact"/>
            </w:pPr>
            <w:r>
              <w:t xml:space="preserve">Bear</w:t>
            </w:r>
          </w:p>
        </w:tc>
        <w:tc>
          <w:tcPr/>
          <w:p>
            <w:pPr>
              <w:pStyle w:val="Compact"/>
            </w:pPr>
            <w:r>
              <w:t xml:space="preserve">$58.58</w:t>
            </w:r>
          </w:p>
        </w:tc>
        <w:tc>
          <w:tcPr/>
          <w:p>
            <w:pPr>
              <w:pStyle w:val="Compact"/>
            </w:pPr>
            <w:r>
              <w:t xml:space="preserve">-78.0%</w:t>
            </w:r>
          </w:p>
        </w:tc>
      </w:tr>
      <w:tr>
        <w:tc>
          <w:tcPr/>
          <w:p>
            <w:pPr>
              <w:pStyle w:val="Compact"/>
            </w:pPr>
            <w:r>
              <w:t xml:space="preserve">8Q</w:t>
            </w:r>
          </w:p>
        </w:tc>
        <w:tc>
          <w:tcPr/>
          <w:p>
            <w:pPr>
              <w:pStyle w:val="Compact"/>
            </w:pPr>
            <w:r>
              <w:t xml:space="preserve">Base</w:t>
            </w:r>
          </w:p>
        </w:tc>
        <w:tc>
          <w:tcPr/>
          <w:p>
            <w:pPr>
              <w:pStyle w:val="Compact"/>
            </w:pPr>
            <w:r>
              <w:t xml:space="preserve">$224.08</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$488.39</w:t>
            </w:r>
          </w:p>
        </w:tc>
        <w:tc>
          <w:tcPr/>
          <w:p>
            <w:pPr>
              <w:pStyle w:val="Compact"/>
            </w:pPr>
            <w:r>
              <w:t xml:space="preserve">83.7%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56.1x</w:t>
            </w:r>
          </w:p>
        </w:tc>
      </w:tr>
      <w:tr>
        <w:tc>
          <w:tcPr/>
          <w:p>
            <w:pPr>
              <w:pStyle w:val="Compact"/>
            </w:pPr>
            <w:r>
              <w:t xml:space="preserve">4Q</w:t>
            </w:r>
          </w:p>
        </w:tc>
        <w:tc>
          <w:tcPr/>
          <w:p>
            <w:pPr>
              <w:pStyle w:val="Compact"/>
            </w:pPr>
            <w:r>
              <w:t xml:space="preserve">41.6x</w:t>
            </w:r>
          </w:p>
        </w:tc>
      </w:tr>
      <w:tr>
        <w:tc>
          <w:tcPr/>
          <w:p>
            <w:pPr>
              <w:pStyle w:val="Compact"/>
            </w:pPr>
            <w:r>
              <w:t xml:space="preserve">6Q</w:t>
            </w:r>
          </w:p>
        </w:tc>
        <w:tc>
          <w:tcPr/>
          <w:p>
            <w:pPr>
              <w:pStyle w:val="Compact"/>
            </w:pPr>
            <w:r>
              <w:t xml:space="preserve">31.0x</w:t>
            </w:r>
          </w:p>
        </w:tc>
      </w:tr>
      <w:tr>
        <w:tc>
          <w:tcPr/>
          <w:p>
            <w:pPr>
              <w:pStyle w:val="Compact"/>
            </w:pPr>
            <w:r>
              <w:t xml:space="preserve">8Q</w:t>
            </w:r>
          </w:p>
        </w:tc>
        <w:tc>
          <w:tcPr/>
          <w:p>
            <w:pPr>
              <w:pStyle w:val="Compact"/>
            </w:pPr>
            <w:r>
              <w:t xml:space="preserve">23.1x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$60.06</w:t>
            </w:r>
          </w:p>
        </w:tc>
        <w:tc>
          <w:tcPr/>
          <w:p>
            <w:pPr>
              <w:pStyle w:val="Compact"/>
            </w:pPr>
            <w:r>
              <w:t xml:space="preserve">-77.4%</w:t>
            </w:r>
          </w:p>
        </w:tc>
      </w:tr>
      <w:tr>
        <w:tc>
          <w:tcPr/>
          <w:p>
            <w:pPr>
              <w:pStyle w:val="Compact"/>
            </w:pPr>
            <w:r>
              <w:t xml:space="preserve">Base</w:t>
            </w:r>
          </w:p>
        </w:tc>
        <w:tc>
          <w:tcPr/>
          <w:p>
            <w:pPr>
              <w:pStyle w:val="Compact"/>
            </w:pPr>
            <w:r>
              <w:t xml:space="preserve">63.1%</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$256.08</w:t>
            </w:r>
          </w:p>
        </w:tc>
        <w:tc>
          <w:tcPr/>
          <w:p>
            <w:pPr>
              <w:pStyle w:val="Compact"/>
            </w:pPr>
            <w:r>
              <w:t xml:space="preserve">-3.7%</w:t>
            </w:r>
          </w:p>
        </w:tc>
      </w:tr>
      <w:tr>
        <w:tc>
          <w:tcPr/>
          <w:p>
            <w:pPr>
              <w:pStyle w:val="Compact"/>
            </w:pPr>
            <w:r>
              <w:t xml:space="preserve">Bull</w:t>
            </w:r>
          </w:p>
        </w:tc>
        <w:tc>
          <w:tcPr/>
          <w:p>
            <w:pPr>
              <w:pStyle w:val="Compact"/>
            </w:pPr>
            <w:r>
              <w:t xml:space="preserve">82.1%</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$597.17</w:t>
            </w:r>
          </w:p>
        </w:tc>
        <w:tc>
          <w:tcPr/>
          <w:p>
            <w:pPr>
              <w:pStyle w:val="Compact"/>
            </w:pPr>
            <w:r>
              <w:t xml:space="preserve">124.6%</w:t>
            </w:r>
          </w:p>
        </w:tc>
      </w:tr>
    </w:tbl>
    <w:p>
      <w:pPr>
        <w:pStyle w:val="BodyText"/>
      </w:pPr>
      <w:r>
        <w:rPr>
          <w:rFonts w:hint="eastAsia"/>
        </w:rPr>
        <w:t xml:space="preserve">概率加权价值</w:t>
      </w:r>
      <w:r>
        <w:t xml:space="preserve"> </w:t>
      </w:r>
      <w:r>
        <w:rPr>
          <w:b/>
          <w:bCs/>
        </w:rPr>
        <w:t xml:space="preserve">$292.35</w:t>
      </w:r>
      <w:r>
        <w:rPr>
          <w:rFonts w:hint="eastAsia"/>
        </w:rPr>
        <w:t xml:space="preserve">（相对现价</w:t>
      </w:r>
      <w:r>
        <w:t xml:space="preserve"> </w:t>
      </w:r>
      <w:r>
        <w:rPr>
          <w:rFonts w:hint="eastAsia"/>
        </w:rPr>
        <w:t xml:space="preserve">10.0%）。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231.5 bn </w:t>
      </w:r>
      <w:r>
        <w:rPr>
          <w:rFonts w:hint="eastAsia"/>
        </w:rPr>
        <w:t xml:space="preserve">USD；终值占比</w:t>
      </w:r>
      <w:r>
        <w:t xml:space="preserve"> 55.9%。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64.3%</w:t>
      </w:r>
      <w:r>
        <w:rPr>
          <w:rFonts w:hint="eastAsia"/>
        </w:rPr>
        <w:t xml:space="preserve">；一致预期FY+1增速</w:t>
      </w:r>
      <w:r>
        <w:t xml:space="preserve"> 63.1%。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MRVL | 238.9 bn USD | 24.8x | 36.5x | 36.5% | 52.2% | 0.7% |</w:t>
      </w:r>
      <w:r>
        <w:t xml:space="preserve"> </w:t>
      </w:r>
      <w:r>
        <w:t xml:space="preserve">| AVGO | 1,693.3 bn USD | 19.4x | 18.3x | 85.5% | 75.5% | 1.8% |</w:t>
      </w:r>
      <w:r>
        <w:t xml:space="preserve"> </w:t>
      </w:r>
      <w:r>
        <w:t xml:space="preserve">| CRDO | 37.7 bn USD | 23.3x | 20.7x | 114.7% | 67.1% | 0.7% |</w:t>
      </w:r>
      <w:r>
        <w:t xml:space="preserve"> </w:t>
      </w:r>
      <w:r>
        <w:t xml:space="preserve">| ALAB | 56.2 bn USD | 45.8x | 50.7x | 104.5% | 75.1% | 0.2% |</w:t>
      </w:r>
      <w:r>
        <w:t xml:space="preserve"> </w:t>
      </w:r>
      <w:r>
        <w:t xml:space="preserve">| AMD | 970.1 bn USD | 23.3x | 37.8x | 50.1% | 55.7%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Losing socket to rival; LPO/CPO shrinks DSP </w:t>
      </w:r>
      <w:r>
        <w:rPr>
          <w:rFonts w:hint="eastAsia"/>
        </w:rPr>
        <w:t xml:space="preserve">TAM｜失去关键项目；LPO/CPO压缩DSP市场</w:t>
      </w:r>
    </w:p>
    <w:p>
      <w:pPr>
        <w:pStyle w:val="Compact"/>
        <w:numPr>
          <w:ilvl w:val="0"/>
          <w:numId w:val="1006"/>
        </w:numPr>
      </w:pPr>
      <w:r>
        <w:rPr>
          <w:rFonts w:hint="eastAsia"/>
        </w:rPr>
        <w:t xml:space="preserve">证伪指标:</w:t>
      </w:r>
      <w:r>
        <w:t xml:space="preserve"> DC revenue guide flat-to-down; customer disclosures of competitor </w:t>
      </w:r>
      <w:r>
        <w:rPr>
          <w:rFonts w:hint="eastAsia"/>
        </w:rPr>
        <w:t xml:space="preserve">sockets｜DC收入指引持平或下降；客户披露换供应商</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265.9</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2.389e+11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3.933e+09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5.286e+09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9.45e+09</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1.723e+09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0.4728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0.6315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0.6315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MRVL_model_v20261013-1622.xlsx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RV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RV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RV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RV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RV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fad80d0e9983645debcc513951fad7a393ed38"/>
    <w:p>
      <w:pPr>
        <w:pStyle w:val="Heading1"/>
      </w:pPr>
      <w:r>
        <w:t xml:space="preserve">MRVL Marvell Technology, Inc. — Equity Deep Dive (Professional English) v20261013-1622</w:t>
      </w:r>
    </w:p>
    <w:p>
      <w:pPr>
        <w:pStyle w:val="BlockText"/>
      </w:pPr>
      <w:r>
        <w:t xml:space="preserve">Data as of 2026-10-13 16:22 SGT | Price $265.86 | Mkt cap 238.9 bn USD | Reporting currency USD | Not investment advice.</w:t>
      </w:r>
    </w:p>
    <w:bookmarkStart w:id="39" w:name="investment-thesis-hypothesis"/>
    <w:p>
      <w:pPr>
        <w:pStyle w:val="Heading2"/>
      </w:pPr>
      <w:r>
        <w:t xml:space="preserve">1. Investment thesis (HYPOTHESIS)</w:t>
      </w:r>
    </w:p>
    <w:p>
      <w:pPr>
        <w:pStyle w:val="FirstParagraph"/>
      </w:pPr>
      <w:r>
        <w:t xml:space="preserve">Marvell benefits from AI optical interconnect (PAM4 DSPs) and custom XPUs; the debate is generational continuity of custom programs and whether CPO erodes DSP demand.</w:t>
      </w:r>
    </w:p>
    <w:p>
      <w:pPr>
        <w:pStyle w:val="Compact"/>
        <w:numPr>
          <w:ilvl w:val="0"/>
          <w:numId w:val="1009"/>
        </w:numPr>
      </w:pPr>
      <w:r>
        <w:rPr>
          <w:b/>
          <w:bCs/>
        </w:rPr>
        <w:t xml:space="preserve">Bull drivers</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9"/>
        </w:numPr>
      </w:pPr>
      <w:r>
        <w:rPr>
          <w:b/>
          <w:bCs/>
        </w:rPr>
        <w:t xml:space="preserve">Bear drivers</w:t>
      </w:r>
      <w:r>
        <w:t xml:space="preserve">: Losing socket to rival; LPO/CPO shrinks DSP </w:t>
      </w:r>
      <w:r>
        <w:rPr>
          <w:rFonts w:hint="eastAsia"/>
        </w:rPr>
        <w:t xml:space="preserve">TAM｜失去关键项目；LPO/CPO压缩DSP市场</w:t>
      </w:r>
    </w:p>
    <w:p>
      <w:pPr>
        <w:pStyle w:val="Compact"/>
        <w:numPr>
          <w:ilvl w:val="0"/>
          <w:numId w:val="1009"/>
        </w:numPr>
      </w:pPr>
      <w:r>
        <w:rPr>
          <w:b/>
          <w:bCs/>
        </w:rPr>
        <w:t xml:space="preserve">Falsifiers</w:t>
      </w:r>
      <w:r>
        <w:t xml:space="preserve">: DC revenue guide flat-to-down; customer disclosures of competitor </w:t>
      </w:r>
      <w:r>
        <w:rPr>
          <w:rFonts w:hint="eastAsia"/>
        </w:rPr>
        <w:t xml:space="preserve">sockets｜DC收入指引持平或下降；客户披露换供应商</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Custom ASIC + electro-optics </w:t>
      </w:r>
      <w:r>
        <w:rPr>
          <w:rFonts w:hint="eastAsia"/>
        </w:rPr>
        <w:t xml:space="preserve">定制ASIC+光电DSP</w:t>
      </w:r>
      <w:r>
        <w:t xml:space="preserve"> |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p>
    <w:p>
      <w:pPr>
        <w:pStyle w:val="Compact"/>
        <w:numPr>
          <w:ilvl w:val="0"/>
          <w:numId w:val="1010"/>
        </w:numPr>
      </w:pPr>
      <w:r>
        <w:t xml:space="preserve">Business description (DATA):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10"/>
        </w:numPr>
      </w:pPr>
      <w:r>
        <w:t xml:space="preserve">Customers: AWS (Trainium), Microsoft (Maia), Google, hyperscaler optical module </w:t>
      </w:r>
      <w:r>
        <w:rPr>
          <w:rFonts w:hint="eastAsia"/>
        </w:rPr>
        <w:t xml:space="preserve">makers｜AWS、微软、谷歌、光模块厂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substrate/packaging </w:t>
      </w:r>
      <w:r>
        <w:rPr>
          <w:rFonts w:hint="eastAsia"/>
        </w:rPr>
        <w:t xml:space="preserve">vendors｜台积电、载板/封装</w:t>
      </w:r>
    </w:p>
    <w:p>
      <w:pPr>
        <w:pStyle w:val="Compact"/>
        <w:numPr>
          <w:ilvl w:val="0"/>
          <w:numId w:val="1011"/>
        </w:numPr>
      </w:pPr>
      <w:r>
        <w:t xml:space="preserve">Competitors: Broadcom, Alchip, MediaTek, Credo (AECs), Inphi-legacy </w:t>
      </w:r>
      <w:r>
        <w:rPr>
          <w:rFonts w:hint="eastAsia"/>
        </w:rPr>
        <w:t xml:space="preserve">rivals｜博通、世芯、联发科、Credo</w:t>
      </w:r>
    </w:p>
    <w:p>
      <w:pPr>
        <w:pStyle w:val="Compact"/>
        <w:numPr>
          <w:ilvl w:val="0"/>
          <w:numId w:val="1011"/>
        </w:numPr>
      </w:pPr>
      <w:r>
        <w:t xml:space="preserve">Bottlenecks/regulation: Custom program wins/losses, PAM4 DSP vs LPO/CPO </w:t>
      </w:r>
      <w:r>
        <w:rPr>
          <w:rFonts w:hint="eastAsia"/>
        </w:rPr>
        <w:t xml:space="preserve">substitution｜定制项目得失、DSP被LPO/CPO替代</w:t>
      </w:r>
    </w:p>
    <w:p>
      <w:pPr>
        <w:pStyle w:val="Compact"/>
        <w:numPr>
          <w:ilvl w:val="0"/>
          <w:numId w:val="1011"/>
        </w:numPr>
      </w:pPr>
      <w:r>
        <w:t xml:space="preserve">KPIs: DC revenue, custom revenue, optical DSP revenue, </w:t>
      </w:r>
      <w:r>
        <w:rPr>
          <w:rFonts w:hint="eastAsia"/>
        </w:rPr>
        <w:t xml:space="preserve">GM%｜DC收入、定制收入、光DSP收入、毛利率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5.3 bn USD; TTM FCF 1.7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1.10124 (34 analysts); revenue consensus 3.2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$43.05</w:t>
            </w:r>
          </w:p>
        </w:tc>
        <w:tc>
          <w:tcPr/>
          <w:p>
            <w:pPr>
              <w:pStyle w:val="Compact"/>
            </w:pPr>
            <w:r>
              <w:t xml:space="preserve">-83.8%</w:t>
            </w:r>
          </w:p>
        </w:tc>
      </w:tr>
      <w:tr>
        <w:tc>
          <w:tcPr/>
          <w:p>
            <w:pPr>
              <w:pStyle w:val="Compact"/>
            </w:pPr>
            <w:r>
              <w:t xml:space="preserve">2Q</w:t>
            </w:r>
          </w:p>
        </w:tc>
        <w:tc>
          <w:tcPr/>
          <w:p>
            <w:pPr>
              <w:pStyle w:val="Compact"/>
            </w:pPr>
            <w:r>
              <w:t xml:space="preserve">Base</w:t>
            </w:r>
          </w:p>
        </w:tc>
        <w:tc>
          <w:tcPr/>
          <w:p>
            <w:pPr>
              <w:pStyle w:val="Compact"/>
            </w:pPr>
            <w:r>
              <w:t xml:space="preserve">$110.62</w:t>
            </w:r>
          </w:p>
        </w:tc>
        <w:tc>
          <w:tcPr/>
          <w:p>
            <w:pPr>
              <w:pStyle w:val="Compact"/>
            </w:pPr>
            <w:r>
              <w:t xml:space="preserve">-58.4%</w:t>
            </w:r>
          </w:p>
        </w:tc>
      </w:tr>
      <w:tr>
        <w:tc>
          <w:tcPr/>
          <w:p>
            <w:pPr>
              <w:pStyle w:val="Compact"/>
            </w:pPr>
            <w:r>
              <w:t xml:space="preserve">2Q</w:t>
            </w:r>
          </w:p>
        </w:tc>
        <w:tc>
          <w:tcPr/>
          <w:p>
            <w:pPr>
              <w:pStyle w:val="Compact"/>
            </w:pPr>
            <w:r>
              <w:t xml:space="preserve">Bull</w:t>
            </w:r>
          </w:p>
        </w:tc>
        <w:tc>
          <w:tcPr/>
          <w:p>
            <w:pPr>
              <w:pStyle w:val="Compact"/>
            </w:pPr>
            <w:r>
              <w:t xml:space="preserve">$195.44</w:t>
            </w:r>
          </w:p>
        </w:tc>
        <w:tc>
          <w:tcPr/>
          <w:p>
            <w:pPr>
              <w:pStyle w:val="Compact"/>
            </w:pPr>
            <w:r>
              <w:t xml:space="preserve">-26.5%</w:t>
            </w:r>
          </w:p>
        </w:tc>
      </w:tr>
      <w:tr>
        <w:tc>
          <w:tcPr/>
          <w:p>
            <w:pPr>
              <w:pStyle w:val="Compact"/>
            </w:pPr>
            <w:r>
              <w:t xml:space="preserve">4Q</w:t>
            </w:r>
          </w:p>
        </w:tc>
        <w:tc>
          <w:tcPr/>
          <w:p>
            <w:pPr>
              <w:pStyle w:val="Compact"/>
            </w:pPr>
            <w:r>
              <w:t xml:space="preserve">Bear</w:t>
            </w:r>
          </w:p>
        </w:tc>
        <w:tc>
          <w:tcPr/>
          <w:p>
            <w:pPr>
              <w:pStyle w:val="Compact"/>
            </w:pPr>
            <w:r>
              <w:t xml:space="preserve">$47.78</w:t>
            </w:r>
          </w:p>
        </w:tc>
        <w:tc>
          <w:tcPr/>
          <w:p>
            <w:pPr>
              <w:pStyle w:val="Compact"/>
            </w:pPr>
            <w:r>
              <w:t xml:space="preserve">-82.0%</w:t>
            </w:r>
          </w:p>
        </w:tc>
      </w:tr>
      <w:tr>
        <w:tc>
          <w:tcPr/>
          <w:p>
            <w:pPr>
              <w:pStyle w:val="Compact"/>
            </w:pPr>
            <w:r>
              <w:t xml:space="preserve">4Q</w:t>
            </w:r>
          </w:p>
        </w:tc>
        <w:tc>
          <w:tcPr/>
          <w:p>
            <w:pPr>
              <w:pStyle w:val="Compact"/>
            </w:pPr>
            <w:r>
              <w:t xml:space="preserve">Base</w:t>
            </w:r>
          </w:p>
        </w:tc>
        <w:tc>
          <w:tcPr/>
          <w:p>
            <w:pPr>
              <w:pStyle w:val="Compact"/>
            </w:pPr>
            <w:r>
              <w:t xml:space="preserve">$140.44</w:t>
            </w:r>
          </w:p>
        </w:tc>
        <w:tc>
          <w:tcPr/>
          <w:p>
            <w:pPr>
              <w:pStyle w:val="Compact"/>
            </w:pPr>
            <w:r>
              <w:t xml:space="preserve">-47.2%</w:t>
            </w:r>
          </w:p>
        </w:tc>
      </w:tr>
      <w:tr>
        <w:tc>
          <w:tcPr/>
          <w:p>
            <w:pPr>
              <w:pStyle w:val="Compact"/>
            </w:pPr>
            <w:r>
              <w:t xml:space="preserve">4Q</w:t>
            </w:r>
          </w:p>
        </w:tc>
        <w:tc>
          <w:tcPr/>
          <w:p>
            <w:pPr>
              <w:pStyle w:val="Compact"/>
            </w:pPr>
            <w:r>
              <w:t xml:space="preserve">Bull</w:t>
            </w:r>
          </w:p>
        </w:tc>
        <w:tc>
          <w:tcPr/>
          <w:p>
            <w:pPr>
              <w:pStyle w:val="Compact"/>
            </w:pPr>
            <w:r>
              <w:t xml:space="preserve">$266.49</w:t>
            </w:r>
          </w:p>
        </w:tc>
        <w:tc>
          <w:tcPr/>
          <w:p>
            <w:pPr>
              <w:pStyle w:val="Compact"/>
            </w:pPr>
            <w:r>
              <w:t xml:space="preserve">0.2%</w:t>
            </w:r>
          </w:p>
        </w:tc>
      </w:tr>
      <w:tr>
        <w:tc>
          <w:tcPr/>
          <w:p>
            <w:pPr>
              <w:pStyle w:val="Compact"/>
            </w:pPr>
            <w:r>
              <w:t xml:space="preserve">6Q</w:t>
            </w:r>
          </w:p>
        </w:tc>
        <w:tc>
          <w:tcPr/>
          <w:p>
            <w:pPr>
              <w:pStyle w:val="Compact"/>
            </w:pPr>
            <w:r>
              <w:t xml:space="preserve">Bear</w:t>
            </w:r>
          </w:p>
        </w:tc>
        <w:tc>
          <w:tcPr/>
          <w:p>
            <w:pPr>
              <w:pStyle w:val="Compact"/>
            </w:pPr>
            <w:r>
              <w:t xml:space="preserve">$52.95</w:t>
            </w:r>
          </w:p>
        </w:tc>
        <w:tc>
          <w:tcPr/>
          <w:p>
            <w:pPr>
              <w:pStyle w:val="Compact"/>
            </w:pPr>
            <w:r>
              <w:t xml:space="preserve">-80.1%</w:t>
            </w:r>
          </w:p>
        </w:tc>
      </w:tr>
      <w:tr>
        <w:tc>
          <w:tcPr/>
          <w:p>
            <w:pPr>
              <w:pStyle w:val="Compact"/>
            </w:pPr>
            <w:r>
              <w:t xml:space="preserve">6Q</w:t>
            </w:r>
          </w:p>
        </w:tc>
        <w:tc>
          <w:tcPr/>
          <w:p>
            <w:pPr>
              <w:pStyle w:val="Compact"/>
            </w:pPr>
            <w:r>
              <w:t xml:space="preserve">Base</w:t>
            </w:r>
          </w:p>
        </w:tc>
        <w:tc>
          <w:tcPr/>
          <w:p>
            <w:pPr>
              <w:pStyle w:val="Compact"/>
            </w:pPr>
            <w:r>
              <w:t xml:space="preserve">$177.66</w:t>
            </w:r>
          </w:p>
        </w:tc>
        <w:tc>
          <w:tcPr/>
          <w:p>
            <w:pPr>
              <w:pStyle w:val="Compact"/>
            </w:pPr>
            <w:r>
              <w:t xml:space="preserve">-33.2%</w:t>
            </w:r>
          </w:p>
        </w:tc>
      </w:tr>
      <w:tr>
        <w:tc>
          <w:tcPr/>
          <w:p>
            <w:pPr>
              <w:pStyle w:val="Compact"/>
            </w:pPr>
            <w:r>
              <w:t xml:space="preserve">6Q</w:t>
            </w:r>
          </w:p>
        </w:tc>
        <w:tc>
          <w:tcPr/>
          <w:p>
            <w:pPr>
              <w:pStyle w:val="Compact"/>
            </w:pPr>
            <w:r>
              <w:t xml:space="preserve">Bull</w:t>
            </w:r>
          </w:p>
        </w:tc>
        <w:tc>
          <w:tcPr/>
          <w:p>
            <w:pPr>
              <w:pStyle w:val="Compact"/>
            </w:pPr>
            <w:r>
              <w:t xml:space="preserve">$361.54</w:t>
            </w:r>
          </w:p>
        </w:tc>
        <w:tc>
          <w:tcPr/>
          <w:p>
            <w:pPr>
              <w:pStyle w:val="Compact"/>
            </w:pPr>
            <w:r>
              <w:t xml:space="preserve">36.0%</w:t>
            </w:r>
          </w:p>
        </w:tc>
      </w:tr>
      <w:tr>
        <w:tc>
          <w:tcPr/>
          <w:p>
            <w:pPr>
              <w:pStyle w:val="Compact"/>
            </w:pPr>
            <w:r>
              <w:t xml:space="preserve">8Q</w:t>
            </w:r>
          </w:p>
        </w:tc>
        <w:tc>
          <w:tcPr/>
          <w:p>
            <w:pPr>
              <w:pStyle w:val="Compact"/>
            </w:pPr>
            <w:r>
              <w:t xml:space="preserve">Bear</w:t>
            </w:r>
          </w:p>
        </w:tc>
        <w:tc>
          <w:tcPr/>
          <w:p>
            <w:pPr>
              <w:pStyle w:val="Compact"/>
            </w:pPr>
            <w:r>
              <w:t xml:space="preserve">$58.58</w:t>
            </w:r>
          </w:p>
        </w:tc>
        <w:tc>
          <w:tcPr/>
          <w:p>
            <w:pPr>
              <w:pStyle w:val="Compact"/>
            </w:pPr>
            <w:r>
              <w:t xml:space="preserve">-78.0%</w:t>
            </w:r>
          </w:p>
        </w:tc>
      </w:tr>
      <w:tr>
        <w:tc>
          <w:tcPr/>
          <w:p>
            <w:pPr>
              <w:pStyle w:val="Compact"/>
            </w:pPr>
            <w:r>
              <w:t xml:space="preserve">8Q</w:t>
            </w:r>
          </w:p>
        </w:tc>
        <w:tc>
          <w:tcPr/>
          <w:p>
            <w:pPr>
              <w:pStyle w:val="Compact"/>
            </w:pPr>
            <w:r>
              <w:t xml:space="preserve">Base</w:t>
            </w:r>
          </w:p>
        </w:tc>
        <w:tc>
          <w:tcPr/>
          <w:p>
            <w:pPr>
              <w:pStyle w:val="Compact"/>
            </w:pPr>
            <w:r>
              <w:t xml:space="preserve">$224.08</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$488.39</w:t>
            </w:r>
          </w:p>
        </w:tc>
        <w:tc>
          <w:tcPr/>
          <w:p>
            <w:pPr>
              <w:pStyle w:val="Compact"/>
            </w:pPr>
            <w:r>
              <w:t xml:space="preserve">83.7%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56.1x</w:t>
            </w:r>
          </w:p>
        </w:tc>
      </w:tr>
      <w:tr>
        <w:tc>
          <w:tcPr/>
          <w:p>
            <w:pPr>
              <w:pStyle w:val="Compact"/>
            </w:pPr>
            <w:r>
              <w:t xml:space="preserve">4Q</w:t>
            </w:r>
          </w:p>
        </w:tc>
        <w:tc>
          <w:tcPr/>
          <w:p>
            <w:pPr>
              <w:pStyle w:val="Compact"/>
            </w:pPr>
            <w:r>
              <w:t xml:space="preserve">41.6x</w:t>
            </w:r>
          </w:p>
        </w:tc>
      </w:tr>
      <w:tr>
        <w:tc>
          <w:tcPr/>
          <w:p>
            <w:pPr>
              <w:pStyle w:val="Compact"/>
            </w:pPr>
            <w:r>
              <w:t xml:space="preserve">6Q</w:t>
            </w:r>
          </w:p>
        </w:tc>
        <w:tc>
          <w:tcPr/>
          <w:p>
            <w:pPr>
              <w:pStyle w:val="Compact"/>
            </w:pPr>
            <w:r>
              <w:t xml:space="preserve">31.0x</w:t>
            </w:r>
          </w:p>
        </w:tc>
      </w:tr>
      <w:tr>
        <w:tc>
          <w:tcPr/>
          <w:p>
            <w:pPr>
              <w:pStyle w:val="Compact"/>
            </w:pPr>
            <w:r>
              <w:t xml:space="preserve">8Q</w:t>
            </w:r>
          </w:p>
        </w:tc>
        <w:tc>
          <w:tcPr/>
          <w:p>
            <w:pPr>
              <w:pStyle w:val="Compact"/>
            </w:pPr>
            <w:r>
              <w:t xml:space="preserve">23.1x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$60.06</w:t>
            </w:r>
          </w:p>
        </w:tc>
        <w:tc>
          <w:tcPr/>
          <w:p>
            <w:pPr>
              <w:pStyle w:val="Compact"/>
            </w:pPr>
            <w:r>
              <w:t xml:space="preserve">-77.4%</w:t>
            </w:r>
          </w:p>
        </w:tc>
      </w:tr>
      <w:tr>
        <w:tc>
          <w:tcPr/>
          <w:p>
            <w:pPr>
              <w:pStyle w:val="Compact"/>
            </w:pPr>
            <w:r>
              <w:t xml:space="preserve">Base</w:t>
            </w:r>
          </w:p>
        </w:tc>
        <w:tc>
          <w:tcPr/>
          <w:p>
            <w:pPr>
              <w:pStyle w:val="Compact"/>
            </w:pPr>
            <w:r>
              <w:t xml:space="preserve">63.1%</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$256.08</w:t>
            </w:r>
          </w:p>
        </w:tc>
        <w:tc>
          <w:tcPr/>
          <w:p>
            <w:pPr>
              <w:pStyle w:val="Compact"/>
            </w:pPr>
            <w:r>
              <w:t xml:space="preserve">-3.7%</w:t>
            </w:r>
          </w:p>
        </w:tc>
      </w:tr>
      <w:tr>
        <w:tc>
          <w:tcPr/>
          <w:p>
            <w:pPr>
              <w:pStyle w:val="Compact"/>
            </w:pPr>
            <w:r>
              <w:t xml:space="preserve">Bull</w:t>
            </w:r>
          </w:p>
        </w:tc>
        <w:tc>
          <w:tcPr/>
          <w:p>
            <w:pPr>
              <w:pStyle w:val="Compact"/>
            </w:pPr>
            <w:r>
              <w:t xml:space="preserve">82.1%</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$597.17</w:t>
            </w:r>
          </w:p>
        </w:tc>
        <w:tc>
          <w:tcPr/>
          <w:p>
            <w:pPr>
              <w:pStyle w:val="Compact"/>
            </w:pPr>
            <w:r>
              <w:t xml:space="preserve">124.6%</w:t>
            </w:r>
          </w:p>
        </w:tc>
      </w:tr>
    </w:tbl>
    <w:p>
      <w:pPr>
        <w:pStyle w:val="BodyText"/>
      </w:pPr>
      <w:r>
        <w:t xml:space="preserve">Probability-weighted value</w:t>
      </w:r>
      <w:r>
        <w:t xml:space="preserve"> </w:t>
      </w:r>
      <w:r>
        <w:rPr>
          <w:b/>
          <w:bCs/>
        </w:rPr>
        <w:t xml:space="preserve">$292.35</w:t>
      </w:r>
      <w:r>
        <w:t xml:space="preserve"> </w:t>
      </w:r>
      <w:r>
        <w:t xml:space="preserve">(10.0%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231.5 bn USD; terminal share 55.9%.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64.3%</w:t>
      </w:r>
      <w:r>
        <w:t xml:space="preserve"> </w:t>
      </w:r>
      <w:r>
        <w:t xml:space="preserve">vs consensus FY+1 63.1%.</w:t>
      </w:r>
    </w:p>
    <w:p>
      <w:pPr>
        <w:pStyle w:val="Compact"/>
        <w:numPr>
          <w:ilvl w:val="0"/>
          <w:numId w:val="1013"/>
        </w:numPr>
      </w:pPr>
      <w:r>
        <w:t xml:space="preserve">WACC (CAPM) = rf 5.2% + β 1.60 × ERP 5.0% = 13.2%.</w:t>
      </w:r>
    </w:p>
    <w:p>
      <w:pPr>
        <w:pStyle w:val="Compact"/>
        <w:numPr>
          <w:ilvl w:val="0"/>
          <w:numId w:val="1013"/>
        </w:numPr>
      </w:pPr>
      <w:r>
        <w:t xml:space="preserve">SOTP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Losing socket to rival; LPO/CPO shrinks DSP </w:t>
      </w:r>
      <w:r>
        <w:rPr>
          <w:rFonts w:hint="eastAsia"/>
        </w:rPr>
        <w:t xml:space="preserve">TAM｜失去关键项目；LPO/CPO压缩DSP市场</w:t>
      </w:r>
      <w:r>
        <w:t xml:space="preserve"> | Falsifiers: DC revenue guide flat-to-down; customer disclosures of competitor </w:t>
      </w:r>
      <w:r>
        <w:rPr>
          <w:rFonts w:hint="eastAsia"/>
        </w:rPr>
        <w:t xml:space="preserve">sockets｜DC收入指引持平或下降；客户披露换供应商</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MRVL_model_v20261013-1622.xlsx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2026-10-13T08:24:04Z</dcterms:created>
  <dcterms:modified xsi:type="dcterms:W3CDTF">2026-10-13T08:24:04Z</dcterms:modified>
</cp:coreProperties>
</file>

<file path=docProps/custom.xml><?xml version="1.0" encoding="utf-8"?>
<Properties xmlns="http://schemas.openxmlformats.org/officeDocument/2006/custom-properties" xmlns:vt="http://schemas.openxmlformats.org/officeDocument/2006/docPropsVTypes"/>
</file>