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13a8097d366e97d16fadca143c6deacc56d19e"/>
    <w:p>
      <w:pPr>
        <w:pStyle w:val="Heading1"/>
      </w:pPr>
      <w:r>
        <w:t xml:space="preserve">MU </w:t>
      </w:r>
      <w:r>
        <w:rPr>
          <w:rFonts w:hint="eastAsia"/>
        </w:rPr>
        <w:t xml:space="preserve">美光</w:t>
      </w:r>
      <w:r>
        <w:t xml:space="preserve"> — </w:t>
      </w:r>
      <w:r>
        <w:rPr>
          <w:rFonts w:hint="eastAsia"/>
        </w:rPr>
        <w:t xml:space="preserve">思考过程版（Teaching</w:t>
      </w:r>
      <w:r>
        <w:t xml:space="preserve"> v2.1 </w:t>
      </w:r>
      <w:r>
        <w:rPr>
          <w:rFonts w:hint="eastAsia"/>
        </w:rPr>
        <w:t xml:space="preserve">试点）v20261013-2057-think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SGT（MU</w:t>
      </w:r>
      <w:r>
        <w:t xml:space="preserve"> </w:t>
      </w:r>
      <w:r>
        <w:rPr>
          <w:rFonts w:hint="eastAsia"/>
        </w:rPr>
        <w:t xml:space="preserve">收盘</w:t>
      </w:r>
      <w:r>
        <w:t xml:space="preserve"> </w:t>
      </w:r>
      <w:r>
        <w:rPr>
          <w:rFonts w:hint="eastAsia"/>
        </w:rPr>
        <w:t xml:space="preserve">2026-10-12）｜模型与数字沿用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INFERENCE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长鑫（CXMT）10/10</w:t>
      </w:r>
      <w:r>
        <w:t xml:space="preserve"> </w:t>
      </w:r>
      <w:r>
        <w:rPr>
          <w:rFonts w:hint="eastAsia"/>
        </w:rPr>
        <w:t xml:space="preserve">展示</w:t>
      </w:r>
      <w:r>
        <w:t xml:space="preserve"> 4F² </w:t>
      </w:r>
      <w:r>
        <w:rPr>
          <w:rFonts w:hint="eastAsia"/>
        </w:rPr>
        <w:t xml:space="preserve">DRAM，美光</w:t>
      </w:r>
      <w:r>
        <w:t xml:space="preserve"> 10/12 </w:t>
      </w:r>
      <w:r>
        <w:rPr>
          <w:rFonts w:hint="eastAsia"/>
        </w:rPr>
        <w:t xml:space="preserve">收跌</w:t>
      </w:r>
      <w:r>
        <w:t xml:space="preserve"> 3.9%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$989.04，距</w:t>
      </w:r>
      <w:r>
        <w:t xml:space="preserve"> 2026-06-25 </w:t>
      </w:r>
      <w:r>
        <w:rPr>
          <w:rFonts w:hint="eastAsia"/>
        </w:rPr>
        <w:t xml:space="preserve">高点</w:t>
      </w:r>
      <w:r>
        <w:t xml:space="preserve"> -18.5%。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现价隐含首年收入增速约</w:t>
      </w:r>
      <w:r>
        <w:t xml:space="preserve"> </w:t>
      </w:r>
      <w:r>
        <w:rPr>
          <w:rFonts w:hint="eastAsia"/>
        </w:rPr>
        <w:t xml:space="preserve">30.6%，分析师一致预期</w:t>
      </w:r>
      <w:r>
        <w:t xml:space="preserve"> </w:t>
      </w:r>
      <w:r>
        <w:rPr>
          <w:rFonts w:hint="eastAsia"/>
        </w:rPr>
        <w:t xml:space="preserve">15.7%；我们的三情景价值</w:t>
      </w:r>
      <w:r>
        <w:t xml:space="preserve"> $327/$585/$865 </w:t>
      </w:r>
      <w:r>
        <w:rPr>
          <w:rFonts w:hint="eastAsia"/>
        </w:rPr>
        <w:t xml:space="preserve">都低于现价。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盯：DRAM</w:t>
      </w:r>
      <w:r>
        <w:t xml:space="preserve"> </w:t>
      </w:r>
      <w:r>
        <w:rPr>
          <w:rFonts w:hint="eastAsia"/>
        </w:rPr>
        <w:t xml:space="preserve">合约价、12/24（TENTATIVE）财报的毛利率指引、长鑫服务器客户认证。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  <w:r>
              <w:t xml:space="preserve"> + </w:t>
            </w:r>
            <w:r>
              <w:rPr>
                <w:rFonts w:hint="eastAsia"/>
              </w:rPr>
              <w:t xml:space="preserve">新闻解读图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p>
      <w:pPr>
        <w:pStyle w:val="CaptionedFigure"/>
      </w:pPr>
      <w:r>
        <w:drawing>
          <wp:inline>
            <wp:extent cx="5334000" cy="3931158"/>
            <wp:effectExtent b="0" l="0" r="0" t="0"/>
            <wp:docPr descr="新闻解读图" title="" id="11" name="Picture"/>
            <a:graphic>
              <a:graphicData uri="http://schemas.openxmlformats.org/drawingml/2006/picture">
                <pic:pic>
                  <pic:nvPicPr>
                    <pic:cNvPr descr="images/T0_CXMT_news_explainer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Start w:id="13" w:name="一七步思考过程把分析师脑子里的过程写出来"/>
    <w:p>
      <w:pPr>
        <w:pStyle w:val="Heading2"/>
      </w:pPr>
      <w:r>
        <w:rPr>
          <w:rFonts w:hint="eastAsia"/>
        </w:rPr>
        <w:t xml:space="preserve">一、七步思考过程（把分析师脑子里的过程写出来）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谁在乎长鑫？持有美光/海力士/三星的人。为什么？因为</w:t>
      </w:r>
      <w:r>
        <w:t xml:space="preserve"> DRAM </w:t>
      </w:r>
      <w:r>
        <w:rPr>
          <w:rFonts w:hint="eastAsia"/>
        </w:rPr>
        <w:t xml:space="preserve">价格由全行业供给决定，长鑫多供一片，所有人的价格都受影响。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</w:t>
      </w:r>
      <w:r>
        <w:t xml:space="preserve"> $989.04 </w:t>
      </w:r>
      <w:r>
        <w:rPr>
          <w:rFonts w:hint="eastAsia"/>
        </w:rPr>
        <w:t xml:space="preserve">需要首年增速</w:t>
      </w:r>
      <w:r>
        <w:t xml:space="preserve"> ≈ </w:t>
      </w:r>
      <w:r>
        <w:rPr>
          <w:rFonts w:hint="eastAsia"/>
        </w:rPr>
        <w:t xml:space="preserve">30.6%，高于一致预期</w:t>
      </w:r>
      <w:r>
        <w:t xml:space="preserve"> </w:t>
      </w:r>
      <w:r>
        <w:rPr>
          <w:rFonts w:hint="eastAsia"/>
        </w:rPr>
        <w:t xml:space="preserve">15.7%。市场定价的是”超级周期继续”。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长鑫扩产</w:t>
      </w:r>
      <w:r>
        <w:t xml:space="preserve"> → </w:t>
      </w:r>
      <w:r>
        <w:rPr>
          <w:rFonts w:hint="eastAsia"/>
        </w:rPr>
        <w:t xml:space="preserve">通用</w:t>
      </w:r>
      <w:r>
        <w:t xml:space="preserve"> DRAM </w:t>
      </w:r>
      <w:r>
        <w:rPr>
          <w:rFonts w:hint="eastAsia"/>
        </w:rPr>
        <w:t xml:space="preserve">供给↑（检验：长鑫份额，2Q26</w:t>
      </w:r>
      <w:r>
        <w:t xml:space="preserve"> </w:t>
      </w:r>
      <w:r>
        <w:rPr>
          <w:rFonts w:hint="eastAsia"/>
        </w:rPr>
        <w:t xml:space="preserve">9.5%）→</w:t>
      </w:r>
      <w:r>
        <w:t xml:space="preserve"> </w:t>
      </w:r>
      <w:r>
        <w:rPr>
          <w:rFonts w:hint="eastAsia"/>
        </w:rPr>
        <w:t xml:space="preserve">合约价↓（检验：TrendForce</w:t>
      </w:r>
      <w:r>
        <w:t xml:space="preserve"> </w:t>
      </w:r>
      <w:r>
        <w:rPr>
          <w:rFonts w:hint="eastAsia"/>
        </w:rPr>
        <w:t xml:space="preserve">月度合约价）→</w:t>
      </w:r>
      <w:r>
        <w:t xml:space="preserve"> </w:t>
      </w:r>
      <w:r>
        <w:rPr>
          <w:rFonts w:hint="eastAsia"/>
        </w:rPr>
        <w:t xml:space="preserve">美光毛利率↓（检验：下季指引）→</w:t>
      </w:r>
      <w:r>
        <w:t xml:space="preserve"> EPS↓ → </w:t>
      </w:r>
      <w:r>
        <w:rPr>
          <w:rFonts w:hint="eastAsia"/>
        </w:rPr>
        <w:t xml:space="preserve">股价。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断点①：4F²</w:t>
      </w:r>
      <w:r>
        <w:t xml:space="preserve"> </w:t>
      </w:r>
      <w:r>
        <w:rPr>
          <w:rFonts w:hint="eastAsia"/>
        </w:rPr>
        <w:t xml:space="preserve">良率/认证未证实，供给未必兑现；断点②：HBM</w:t>
      </w:r>
      <w:r>
        <w:t xml:space="preserve"> </w:t>
      </w:r>
      <w:r>
        <w:rPr>
          <w:rFonts w:hint="eastAsia"/>
        </w:rPr>
        <w:t xml:space="preserve">吃掉晶圆，通用</w:t>
      </w:r>
      <w:r>
        <w:t xml:space="preserve"> DRAM </w:t>
      </w:r>
      <w:r>
        <w:rPr>
          <w:rFonts w:hint="eastAsia"/>
        </w:rPr>
        <w:t xml:space="preserve">未必过剩；断点③：价格已经大幅回撤，可能已部分定价。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见第四节证伪清单。</w:t>
      </w:r>
    </w:p>
    <w:bookmarkEnd w:id="13"/>
    <w:bookmarkStart w:id="21" w:name="二质疑工具箱每个工具都用真实数字"/>
    <w:p>
      <w:pPr>
        <w:pStyle w:val="Heading2"/>
      </w:pPr>
      <w:r>
        <w:rPr>
          <w:rFonts w:hint="eastAsia"/>
        </w:rPr>
        <w:t xml:space="preserve">二、质疑工具箱（每个工具都用真实数字）</w:t>
      </w:r>
    </w:p>
    <w:bookmarkStart w:id="14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避免被标题情绪带走。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长鑫新闻改变的是</w:t>
      </w:r>
      <w:r>
        <w:rPr>
          <w:rFonts w:hint="eastAsia"/>
          <w:b/>
          <w:bCs/>
        </w:rPr>
        <w:t xml:space="preserve">现金流</w:t>
      </w:r>
      <w:r>
        <w:rPr>
          <w:rFonts w:hint="eastAsia"/>
        </w:rPr>
        <w:t xml:space="preserve">（未来价格/毛利），不是折现率（WACC</w:t>
      </w:r>
      <w:r>
        <w:t xml:space="preserve"> 13.2% </w:t>
      </w:r>
      <w:r>
        <w:rPr>
          <w:rFonts w:hint="eastAsia"/>
        </w:rPr>
        <w:t xml:space="preserve">不变）。美光最新入库季度毛利率</w:t>
      </w:r>
      <w:r>
        <w:t xml:space="preserve"> </w:t>
      </w:r>
      <w:r>
        <w:rPr>
          <w:rFonts w:hint="eastAsia"/>
        </w:rPr>
        <w:t xml:space="preserve">84.6%，营收</w:t>
      </w:r>
      <w:r>
        <w:t xml:space="preserve"> </w:t>
      </w:r>
      <w:r>
        <w:rPr>
          <w:rFonts w:hint="eastAsia"/>
        </w:rPr>
        <w:t xml:space="preserve">$41.46B；问题是这种利润能持续几年。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如果毛利率回到</w:t>
      </w:r>
      <w:r>
        <w:t xml:space="preserve"> FY25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39.8%，你觉得每股价值会变多少？用</w:t>
      </w:r>
      <w:r>
        <w:t xml:space="preserve"> Excel </w:t>
      </w:r>
      <w:r>
        <w:rPr>
          <w:rFonts w:hint="eastAsia"/>
        </w:rPr>
        <w:t xml:space="preserve">的利润率输入试一试。</w:t>
      </w:r>
    </w:p>
    <w:bookmarkEnd w:id="14"/>
    <w:bookmarkStart w:id="15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一阶看’竞争对手变多’，二阶看’别人怎么反应’。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二阶：三星/海力士可能加快</w:t>
      </w:r>
      <w:r>
        <w:t xml:space="preserve"> </w:t>
      </w:r>
      <w:r>
        <w:rPr>
          <w:rFonts w:hint="eastAsia"/>
        </w:rPr>
        <w:t xml:space="preserve">4F²（三星预计不早于</w:t>
      </w:r>
      <w:r>
        <w:t xml:space="preserve"> </w:t>
      </w:r>
      <w:r>
        <w:rPr>
          <w:rFonts w:hint="eastAsia"/>
        </w:rPr>
        <w:t xml:space="preserve">2028）或把更多产能转去</w:t>
      </w:r>
      <w:r>
        <w:t xml:space="preserve"> </w:t>
      </w:r>
      <w:r>
        <w:rPr>
          <w:rFonts w:hint="eastAsia"/>
        </w:rPr>
        <w:t xml:space="preserve">HBM；客户可能趁机压合约价、减少囤货——这会比长鑫本身更早体现在价格上。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列出一个’客户行为’变化，以及你会用什么数据看到它。</w:t>
      </w:r>
    </w:p>
    <w:bookmarkEnd w:id="15"/>
    <w:bookmarkStart w:id="16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看多美光会错，如果：合约价环比转负</w:t>
      </w:r>
      <w:r>
        <w:t xml:space="preserve"> + </w:t>
      </w:r>
      <w:r>
        <w:rPr>
          <w:rFonts w:hint="eastAsia"/>
        </w:rPr>
        <w:t xml:space="preserve">库存天数上升</w:t>
      </w:r>
      <w:r>
        <w:t xml:space="preserve"> + </w:t>
      </w:r>
      <w:r>
        <w:rPr>
          <w:rFonts w:hint="eastAsia"/>
        </w:rPr>
        <w:t xml:space="preserve">毛利率指引下降，三者同时出现。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反过来：看空会错的条件是什么？</w:t>
      </w:r>
    </w:p>
    <w:bookmarkEnd w:id="16"/>
    <w:bookmarkStart w:id="17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现价隐含</w:t>
      </w:r>
      <w:r>
        <w:t xml:space="preserve"> 30.6% vs </w:t>
      </w:r>
      <w:r>
        <w:rPr>
          <w:rFonts w:hint="eastAsia"/>
        </w:rPr>
        <w:t xml:space="preserve">一致预期</w:t>
      </w:r>
      <w:r>
        <w:t xml:space="preserve"> </w:t>
      </w:r>
      <w:r>
        <w:rPr>
          <w:rFonts w:hint="eastAsia"/>
        </w:rPr>
        <w:t xml:space="preserve">15.7%；过去</w:t>
      </w:r>
      <w:r>
        <w:t xml:space="preserve"> 4 </w:t>
      </w:r>
      <w:r>
        <w:rPr>
          <w:rFonts w:hint="eastAsia"/>
        </w:rPr>
        <w:t xml:space="preserve">季</w:t>
      </w:r>
      <w:r>
        <w:t xml:space="preserve"> EPS </w:t>
      </w:r>
      <w:r>
        <w:rPr>
          <w:rFonts w:hint="eastAsia"/>
        </w:rPr>
        <w:t xml:space="preserve">超预期：2025-11</w:t>
      </w:r>
      <w:r>
        <w:t xml:space="preserve"> +21% / 2026-02 +33% / 2026-05 +21% / 2026-08 </w:t>
      </w:r>
      <w:r>
        <w:rPr>
          <w:rFonts w:hint="eastAsia"/>
        </w:rPr>
        <w:t xml:space="preserve">+5%——超预期幅度在缩小（最近一季</w:t>
      </w:r>
      <w:r>
        <w:t xml:space="preserve"> </w:t>
      </w:r>
      <w:r>
        <w:rPr>
          <w:rFonts w:hint="eastAsia"/>
        </w:rPr>
        <w:t xml:space="preserve">+5%）。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超预期幅度缩小，意味着什么？</w:t>
      </w:r>
    </w:p>
    <w:bookmarkEnd w:id="17"/>
    <w:bookmarkStart w:id="18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今天卖出的人在押’周期见顶’；买入的人在押’AI</w:t>
      </w:r>
      <w:r>
        <w:t xml:space="preserve"> </w:t>
      </w:r>
      <w:r>
        <w:rPr>
          <w:rFonts w:hint="eastAsia"/>
        </w:rPr>
        <w:t xml:space="preserve">让存储不再是周期品’。周期派的证据：FY23</w:t>
      </w:r>
      <w:r>
        <w:t xml:space="preserve"> </w:t>
      </w:r>
      <w:r>
        <w:rPr>
          <w:rFonts w:hint="eastAsia"/>
        </w:rPr>
        <w:t xml:space="preserve">毛利率</w:t>
      </w:r>
      <w:r>
        <w:t xml:space="preserve"> </w:t>
      </w:r>
      <w:r>
        <w:rPr>
          <w:rFonts w:hint="eastAsia"/>
        </w:rPr>
        <w:t xml:space="preserve">−9.1%。结构派的证据：HBM</w:t>
      </w:r>
      <w:r>
        <w:t xml:space="preserve"> </w:t>
      </w:r>
      <w:r>
        <w:rPr>
          <w:rFonts w:hint="eastAsia"/>
        </w:rPr>
        <w:t xml:space="preserve">份额</w:t>
      </w:r>
      <w:r>
        <w:t xml:space="preserve"> </w:t>
      </w:r>
      <w:r>
        <w:rPr>
          <w:rFonts w:hint="eastAsia"/>
        </w:rPr>
        <w:t xml:space="preserve">SKH50/三星33/美光18，寡头。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8"/>
    <w:bookmarkStart w:id="19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本快照内美光</w:t>
      </w:r>
      <w:r>
        <w:t xml:space="preserve"> 2024-06→2025-04 </w:t>
      </w:r>
      <w:r>
        <w:rPr>
          <w:rFonts w:hint="eastAsia"/>
        </w:rPr>
        <w:t xml:space="preserve">回撤</w:t>
      </w:r>
      <w:r>
        <w:t xml:space="preserve"> </w:t>
      </w:r>
      <w:r>
        <w:rPr>
          <w:rFonts w:hint="eastAsia"/>
        </w:rPr>
        <w:t xml:space="preserve">−57.6%；毛利率</w:t>
      </w:r>
      <w:r>
        <w:t xml:space="preserve"> FY22 45.2% → FY23 </w:t>
      </w:r>
      <w:r>
        <w:rPr>
          <w:rFonts w:hint="eastAsia"/>
        </w:rPr>
        <w:t xml:space="preserve">−9.1%。存储股大起大落是常态，不是例外。7</w:t>
      </w:r>
      <w:r>
        <w:t xml:space="preserve"> </w:t>
      </w:r>
      <w:r>
        <w:rPr>
          <w:rFonts w:hint="eastAsia"/>
        </w:rPr>
        <w:t xml:space="preserve">月长鑫上市时</w:t>
      </w:r>
      <w:r>
        <w:t xml:space="preserve"> KOSPI −10.84% </w:t>
      </w:r>
      <w:r>
        <w:rPr>
          <w:rFonts w:hint="eastAsia"/>
        </w:rPr>
        <w:t xml:space="preserve">后次日</w:t>
      </w:r>
      <w:r>
        <w:t xml:space="preserve"> </w:t>
      </w:r>
      <w:r>
        <w:rPr>
          <w:rFonts w:hint="eastAsia"/>
        </w:rPr>
        <w:t xml:space="preserve">+17.91%——单日恐慌不等于趋势。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当前距高点</w:t>
      </w:r>
      <w:r>
        <w:t xml:space="preserve"> </w:t>
      </w:r>
      <w:r>
        <w:rPr>
          <w:rFonts w:hint="eastAsia"/>
        </w:rPr>
        <w:t xml:space="preserve">{dd:.1f}%，和历史回撤相比算大还是小？</w:t>
      </w:r>
    </w:p>
    <w:bookmarkEnd w:id="19"/>
    <w:bookmarkStart w:id="20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见第四节表格。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给每条假设加一个你会去看的网站/数据。</w:t>
      </w:r>
    </w:p>
    <w:bookmarkEnd w:id="20"/>
    <w:bookmarkEnd w:id="21"/>
    <w:bookmarkStart w:id="22" w:name="三给空头最强版本再用证据裁判"/>
    <w:p>
      <w:pPr>
        <w:pStyle w:val="Heading2"/>
      </w:pPr>
      <w:r>
        <w:rPr>
          <w:rFonts w:hint="eastAsia"/>
        </w:rPr>
        <w:t xml:space="preserve">三、给空头最强版本，再用证据裁判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长鑫是中期（2027–28）供给威胁，不是下季度业绩事件；但美光现价已要求高于共识的增长，安全边际很薄。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毛利率</w:t>
      </w:r>
      <w:r>
        <w:t xml:space="preserve"> &gt;80% </w:t>
      </w:r>
      <w:r>
        <w:rPr>
          <w:rFonts w:hint="eastAsia"/>
        </w:rPr>
        <w:t xml:space="preserve">本身就会吸引供给，历史上每次都均值回归（FY23</w:t>
      </w:r>
      <w:r>
        <w:t xml:space="preserve"> </w:t>
      </w:r>
      <w:r>
        <w:rPr>
          <w:rFonts w:hint="eastAsia"/>
        </w:rPr>
        <w:t xml:space="preserve">−9.1%）</w:t>
      </w:r>
      <w:r>
        <w:t xml:space="preserve"> </w:t>
      </w:r>
      <w:r>
        <w:t xml:space="preserve">2. </w:t>
      </w:r>
      <w:r>
        <w:rPr>
          <w:rFonts w:hint="eastAsia"/>
        </w:rPr>
        <w:t xml:space="preserve">长鑫份额一年翻倍式提升（1Q</w:t>
      </w:r>
      <w:r>
        <w:t xml:space="preserve"> 7.6% → 2Q </w:t>
      </w:r>
      <w:r>
        <w:rPr>
          <w:rFonts w:hint="eastAsia"/>
        </w:rPr>
        <w:t xml:space="preserve">9.5%），高盛估算</w:t>
      </w:r>
      <w:r>
        <w:t xml:space="preserve"> 2028 </w:t>
      </w:r>
      <w:r>
        <w:rPr>
          <w:rFonts w:hint="eastAsia"/>
        </w:rPr>
        <w:t xml:space="preserve">产能达三星</w:t>
      </w:r>
      <w:r>
        <w:t xml:space="preserve"> 41%</w:t>
      </w:r>
      <w:r>
        <w:t xml:space="preserve"> </w:t>
      </w:r>
      <w:r>
        <w:t xml:space="preserve">3. </w:t>
      </w:r>
      <w:r>
        <w:rPr>
          <w:rFonts w:hint="eastAsia"/>
        </w:rPr>
        <w:t xml:space="preserve">现价高于我们</w:t>
      </w:r>
      <w:r>
        <w:t xml:space="preserve"> Bull </w:t>
      </w:r>
      <w:r>
        <w:rPr>
          <w:rFonts w:hint="eastAsia"/>
        </w:rPr>
        <w:t xml:space="preserve">价值</w:t>
      </w:r>
      <w:r>
        <w:t xml:space="preserve"> </w:t>
      </w:r>
      <w:r>
        <w:rPr>
          <w:rFonts w:hint="eastAsia"/>
        </w:rPr>
        <w:t xml:space="preserve">$865，任何坏消息都会被放大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长鑫</w:t>
            </w:r>
            <w:r>
              <w:t xml:space="preserve"> 4F² </w:t>
            </w:r>
            <w:r>
              <w:rPr>
                <w:rFonts w:hint="eastAsia"/>
              </w:rPr>
              <w:t xml:space="preserve">良率/认证未证实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毛利率处于历史极端高位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寡头、份额稳定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超预期幅度从</w:t>
            </w:r>
            <w:r>
              <w:t xml:space="preserve"> +33% </w:t>
            </w:r>
            <w:r>
              <w:rPr>
                <w:rFonts w:hint="eastAsia"/>
              </w:rPr>
              <w:t xml:space="preserve">降到</w:t>
            </w:r>
            <w:r>
              <w:t xml:space="preserve"> +5%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&gt; </w:t>
            </w:r>
            <w:r>
              <w:rPr>
                <w:rFonts w:hint="eastAsia"/>
              </w:rPr>
              <w:t xml:space="preserve">三情景</w:t>
            </w:r>
            <w:r>
              <w:t xml:space="preserve"> DCF </w:t>
            </w: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月同类恐慌迅速反弹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证据略偏空方：不是因为长鑫本身，而是因为</w:t>
      </w:r>
      <w:r>
        <w:rPr>
          <w:rFonts w:hint="eastAsia"/>
          <w:b/>
          <w:bCs/>
        </w:rPr>
        <w:t xml:space="preserve">估值已经定价了乐观情景</w:t>
      </w:r>
      <w:r>
        <w:rPr>
          <w:rFonts w:hint="eastAsia"/>
        </w:rPr>
        <w:t xml:space="preserve">。长鑫新闻只是让市场重新想起’周期’。（我们的判断，可能出错）</w:t>
      </w:r>
    </w:p>
    <w:bookmarkEnd w:id="22"/>
    <w:bookmarkStart w:id="23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合约价继续上涨</w:t>
            </w:r>
          </w:p>
        </w:tc>
        <w:tc>
          <w:tcPr/>
          <w:p>
            <w:pPr>
              <w:pStyle w:val="Compact"/>
            </w:pPr>
            <w:r>
              <w:t xml:space="preserve">TrendForce </w:t>
            </w:r>
            <w:r>
              <w:rPr>
                <w:rFonts w:hint="eastAsia"/>
              </w:rPr>
              <w:t xml:space="preserve">月度合约价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环比转负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长鑫短期无法放量服务器</w:t>
            </w:r>
            <w:r>
              <w:t xml:space="preserve"> DDR5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客户认证公告/出货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年底前宣布主流云厂认证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份额稳定</w:t>
            </w:r>
          </w:p>
        </w:tc>
        <w:tc>
          <w:tcPr/>
          <w:p>
            <w:pPr>
              <w:pStyle w:val="Compact"/>
            </w:pPr>
            <w:r>
              <w:t xml:space="preserve">Counterpoint </w:t>
            </w:r>
            <w:r>
              <w:rPr>
                <w:rFonts w:hint="eastAsia"/>
              </w:rPr>
              <w:t xml:space="preserve">季度份额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美光份额</w:t>
            </w:r>
            <w:r>
              <w:t xml:space="preserve"> &lt;15%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毛利率维持高位</w:t>
            </w:r>
          </w:p>
        </w:tc>
        <w:tc>
          <w:tcPr/>
          <w:p>
            <w:pPr>
              <w:pStyle w:val="Compact"/>
            </w:pPr>
            <w:r>
              <w:t xml:space="preserve">12/24 </w:t>
            </w:r>
            <w:r>
              <w:rPr>
                <w:rFonts w:hint="eastAsia"/>
              </w:rPr>
              <w:t xml:space="preserve">财报指引（TENTATIVE）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指引环比下降</w:t>
            </w:r>
          </w:p>
        </w:tc>
      </w:tr>
    </w:tbl>
    <w:bookmarkEnd w:id="23"/>
    <w:bookmarkStart w:id="33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毛利率周期" title="" id="25" name="Picture"/>
            <a:graphic>
              <a:graphicData uri="http://schemas.openxmlformats.org/drawingml/2006/picture">
                <pic:pic>
                  <pic:nvPicPr>
                    <pic:cNvPr descr="images/T1_毛利率周期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毛利率周期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横轴=财年(FY)/财季(Q)，纵轴=毛利率%；紫线=美光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毛利率可以从</w:t>
      </w:r>
      <w:r>
        <w:t xml:space="preserve"> −9%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85%——这就是’周期品’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若下季毛利率继续升，’结构性’论点加强</w:t>
      </w:r>
    </w:p>
    <w:p>
      <w:pPr>
        <w:pStyle w:val="CaptionedFigure"/>
      </w:pPr>
      <w:r>
        <w:drawing>
          <wp:inline>
            <wp:extent cx="5334000" cy="2889250"/>
            <wp:effectExtent b="0" l="0" r="0" t="0"/>
            <wp:docPr descr="反向DCF" title="" id="28" name="Picture"/>
            <a:graphic>
              <a:graphicData uri="http://schemas.openxmlformats.org/drawingml/2006/picture">
                <pic:pic>
                  <pic:nvPicPr>
                    <pic:cNvPr descr="images/T2_反向DCF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灰=分析师预期增速，红=现价隐含增速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红柱越高于灰柱，股价越依赖’超预期’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我们的利润率假设若太保守，红柱会变矮——要检验模型本身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股价与事件" title="" id="31" name="Picture"/>
            <a:graphic>
              <a:graphicData uri="http://schemas.openxmlformats.org/drawingml/2006/picture">
                <pic:pic>
                  <pic:nvPicPr>
                    <pic:cNvPr descr="images/T3_股价与事件_annotat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股价与事件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深蓝=收盘价；虚线=三情景</w:t>
      </w:r>
      <w:r>
        <w:t xml:space="preserve"> DCF </w:t>
      </w:r>
      <w:r>
        <w:rPr>
          <w:rFonts w:hint="eastAsia"/>
        </w:rPr>
        <w:t xml:space="preserve">价值；标注=事件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价格长期在三情景上方→市场比我们的模型更乐观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合约价、指引、长鑫认证——任何一个变化都会移动虚线或价格</w:t>
      </w:r>
    </w:p>
    <w:bookmarkEnd w:id="33"/>
    <w:bookmarkStart w:id="34" w:name="六推理自测考推理不考记忆"/>
    <w:p>
      <w:pPr>
        <w:pStyle w:val="Heading2"/>
      </w:pPr>
      <w:r>
        <w:rPr>
          <w:rFonts w:hint="eastAsia"/>
        </w:rPr>
        <w:t xml:space="preserve">六、推理自测（考推理，不考记忆）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如果长鑫良率很差、但三星宣布提前到</w:t>
      </w:r>
      <w:r>
        <w:t xml:space="preserve"> 2027 </w:t>
      </w:r>
      <w:r>
        <w:rPr>
          <w:rFonts w:hint="eastAsia"/>
        </w:rPr>
        <w:t xml:space="preserve">年做</w:t>
      </w:r>
      <w:r>
        <w:t xml:space="preserve"> </w:t>
      </w:r>
      <w:r>
        <w:rPr>
          <w:rFonts w:hint="eastAsia"/>
        </w:rPr>
        <w:t xml:space="preserve">4F²，对美光是利好还是利空？为什么？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利空大于长鑫本身：三星规模大得多，二阶效应是行业整体供给更早增加。关键是看’谁的供给’而非’谁发新闻’。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</w:t>
      </w:r>
      <w:r>
        <w:t xml:space="preserve"> 84.6% </w:t>
      </w:r>
      <w:r>
        <w:rPr>
          <w:rFonts w:hint="eastAsia"/>
        </w:rPr>
        <w:t xml:space="preserve">时，’公司超预期’和’股价上涨’为什么可能脱钩？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因为现价已隐含</w:t>
      </w:r>
      <w:r>
        <w:t xml:space="preserve"> 30.6% </w:t>
      </w:r>
      <w:r>
        <w:rPr>
          <w:rFonts w:hint="eastAsia"/>
        </w:rPr>
        <w:t xml:space="preserve">增速，超预期需要超过’隐含预期’而非分析师预期；最近一季超预期仅</w:t>
      </w:r>
      <w:r>
        <w:t xml:space="preserve"> +5%。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用基础概率：存储股单日因新闻跌</w:t>
      </w:r>
      <w:r>
        <w:t xml:space="preserve"> </w:t>
      </w:r>
      <w:r>
        <w:rPr>
          <w:rFonts w:hint="eastAsia"/>
        </w:rPr>
        <w:t xml:space="preserve">4%，接下来一个月继续跌的概率你怎么估？需要什么数据？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不要凭感觉——需要历史上类似单日跌幅后</w:t>
      </w:r>
      <w:r>
        <w:t xml:space="preserve"> 20 </w:t>
      </w:r>
      <w:r>
        <w:rPr>
          <w:rFonts w:hint="eastAsia"/>
        </w:rPr>
        <w:t xml:space="preserve">日收益的分布（本系统可从快照计算）。7</w:t>
      </w:r>
      <w:r>
        <w:t xml:space="preserve"> </w:t>
      </w:r>
      <w:r>
        <w:rPr>
          <w:rFonts w:hint="eastAsia"/>
        </w:rPr>
        <w:t xml:space="preserve">月案例是一次样本，不是概率。</w:t>
      </w:r>
    </w:p>
    <w:bookmarkEnd w:id="34"/>
    <w:bookmarkStart w:id="35" w:name="七事后推理复盘1224-财报后填写"/>
    <w:p>
      <w:pPr>
        <w:pStyle w:val="Heading2"/>
      </w:pPr>
      <w:r>
        <w:rPr>
          <w:rFonts w:hint="eastAsia"/>
        </w:rPr>
        <w:t xml:space="preserve">七、事后推理复盘（12/24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长鑫扩产→通用</w:t>
            </w:r>
            <w:r>
              <w:t xml:space="preserve"> DRAM </w:t>
            </w:r>
            <w:r>
              <w:rPr>
                <w:rFonts w:hint="eastAsia"/>
              </w:rPr>
              <w:t xml:space="preserve">供给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供给→合约价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合约价→美光毛利率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MU thinking-first pilot. Price $989.04 (10/12 close, −3.9% on CXMT 4F² news; -18.5% from 2026-06-25 high). Reverse DCF: price implies ~30.6% Y1 growth vs consensus 15.7%. Scenario values Bear/Base/Bull $327/$585/$865. Base rates: GM went from 45.2% (FY22) to −9.1% (FY23) to 84.6% (latest stored quarter); 2024-06→2025-04 drawdown −57.6%. Our judgment: CXMT is a 2027–28 supply threat; the bigger risk is that valuation already prices the bull case. Falsifiers: DRAM contract prices turning negative q/q, GM guide down, CXMT server qualification. Not investment advice.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2026-10-13T12:58:04Z</dcterms:created>
  <dcterms:modified xsi:type="dcterms:W3CDTF">2026-10-13T12:58:04Z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