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ddb886458d17d1efac32812368fc0648f44708b"/>
    <w:p>
      <w:pPr>
        <w:pStyle w:val="Heading1"/>
      </w:pPr>
      <w:r>
        <w:t xml:space="preserve">MXL MaxLinear, Inc. — </w:t>
      </w:r>
      <w:r>
        <w:rPr>
          <w:rFonts w:hint="eastAsia"/>
        </w:rPr>
        <w:t xml:space="preserve">个股深度研究</w:t>
      </w:r>
      <w:r>
        <w:t xml:space="preserve"> </w:t>
      </w:r>
      <w:r>
        <w:rPr>
          <w:rFonts w:hint="eastAsia"/>
        </w:rPr>
        <w:t xml:space="preserve">(专业中文版)</w:t>
      </w:r>
      <w:r>
        <w:t xml:space="preserve"> v20261013-1622</w:t>
      </w:r>
    </w:p>
    <w:p>
      <w:pPr>
        <w:pStyle w:val="BlockText"/>
      </w:pPr>
      <w:r>
        <w:rPr>
          <w:rFonts w:hint="eastAsia"/>
        </w:rPr>
        <w:t xml:space="preserve">数据截至</w:t>
      </w:r>
      <w:r>
        <w:t xml:space="preserve"> 2026-10-13 16:22 </w:t>
      </w:r>
      <w:r>
        <w:rPr>
          <w:rFonts w:hint="eastAsia"/>
        </w:rPr>
        <w:t xml:space="preserve">SGT｜价格</w:t>
      </w:r>
      <w:r>
        <w:t xml:space="preserve"> </w:t>
      </w:r>
      <w:r>
        <w:rPr>
          <w:rFonts w:hint="eastAsia"/>
        </w:rPr>
        <w:t xml:space="preserve">$88.99｜市值</w:t>
      </w:r>
      <w:r>
        <w:t xml:space="preserve"> 8.1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MaxLinear是小型复苏+期权标的：宽带周期复苏加上Keystone</w:t>
      </w:r>
      <w:r>
        <w:t xml:space="preserve"> </w:t>
      </w:r>
      <w:r>
        <w:rPr>
          <w:rFonts w:hint="eastAsia"/>
        </w:rPr>
        <w:t xml:space="preserve">PAM4光DSP与Panther存储加速器打入AI数据中心的可能性；利润率与执行风险高。</w:t>
      </w:r>
    </w:p>
    <w:p>
      <w:pPr>
        <w:pStyle w:val="Compact"/>
        <w:numPr>
          <w:ilvl w:val="0"/>
          <w:numId w:val="1001"/>
        </w:numPr>
      </w:pPr>
      <w:r>
        <w:rPr>
          <w:rFonts w:hint="eastAsia"/>
          <w:b/>
          <w:bCs/>
        </w:rPr>
        <w:t xml:space="preserve">多头驱动</w:t>
      </w:r>
      <w:r>
        <w:t xml:space="preserve">: Keystone volume ramp at a top module maker; broadband </w:t>
      </w:r>
      <w:r>
        <w:rPr>
          <w:rFonts w:hint="eastAsia"/>
        </w:rPr>
        <w:t xml:space="preserve">upcycle｜Keystone在头部模块厂放量；宽带复苏</w:t>
      </w:r>
    </w:p>
    <w:p>
      <w:pPr>
        <w:pStyle w:val="Compact"/>
        <w:numPr>
          <w:ilvl w:val="0"/>
          <w:numId w:val="1001"/>
        </w:numPr>
      </w:pPr>
      <w:r>
        <w:rPr>
          <w:rFonts w:hint="eastAsia"/>
          <w:b/>
          <w:bCs/>
        </w:rPr>
        <w:t xml:space="preserve">空头驱动</w:t>
      </w:r>
      <w:r>
        <w:t xml:space="preserve">: Design wins don’t convert; legal overhang (Silicon Motion merger </w:t>
      </w:r>
      <w:r>
        <w:rPr>
          <w:rFonts w:hint="eastAsia"/>
        </w:rPr>
        <w:t xml:space="preserve">dispute)｜订单不转化；与慧荣并购纠纷诉讼</w:t>
      </w:r>
    </w:p>
    <w:p>
      <w:pPr>
        <w:pStyle w:val="Compact"/>
        <w:numPr>
          <w:ilvl w:val="0"/>
          <w:numId w:val="1001"/>
        </w:numPr>
      </w:pPr>
      <w:r>
        <w:rPr>
          <w:rFonts w:hint="eastAsia"/>
          <w:b/>
          <w:bCs/>
        </w:rPr>
        <w:t xml:space="preserve">证伪条件</w:t>
      </w:r>
      <w:r>
        <w:rPr>
          <w:b/>
          <w:bCs/>
        </w:rPr>
        <w:t xml:space="preserve"> Falsifiers</w:t>
      </w:r>
      <w:r>
        <w:t xml:space="preserve">: Infrastructure revenue flat; continued operating </w:t>
      </w:r>
      <w:r>
        <w:rPr>
          <w:rFonts w:hint="eastAsia"/>
        </w:rPr>
        <w:t xml:space="preserve">losses｜基础设施收入持平；持续经营亏损</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Broadband/connectivity/optical DSP </w:t>
      </w:r>
      <w:r>
        <w:rPr>
          <w:rFonts w:hint="eastAsia"/>
        </w:rPr>
        <w:t xml:space="preserve">宽带/连接/光DSP</w:t>
      </w:r>
    </w:p>
    <w:p>
      <w:pPr>
        <w:pStyle w:val="Compact"/>
        <w:numPr>
          <w:ilvl w:val="0"/>
          <w:numId w:val="1002"/>
        </w:numPr>
      </w:pPr>
      <w:r>
        <w:rPr>
          <w:rFonts w:hint="eastAsia"/>
        </w:rPr>
        <w:t xml:space="preserve">业务分部</w:t>
      </w:r>
      <w:r>
        <w:t xml:space="preserve"> Segments: Broadband </w:t>
      </w:r>
      <w:r>
        <w:rPr>
          <w:rFonts w:hint="eastAsia"/>
        </w:rPr>
        <w:t xml:space="preserve">宽带；Connectivity</w:t>
      </w:r>
      <w:r>
        <w:t xml:space="preserve"> </w:t>
      </w:r>
      <w:r>
        <w:rPr>
          <w:rFonts w:hint="eastAsia"/>
        </w:rPr>
        <w:t xml:space="preserve">连接；Infrastructure</w:t>
      </w:r>
      <w:r>
        <w:t xml:space="preserve"> (Keystone PAM4 DSP, storage accel.) </w:t>
      </w:r>
      <w:r>
        <w:rPr>
          <w:rFonts w:hint="eastAsia"/>
        </w:rPr>
        <w:t xml:space="preserve">基础设施</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MaxLinear, Inc. provides communications systems-on-chip solutions in the United States, Asia, Europe, and internationally. Its products integrate various portions of a high-speed communication system, including radio frequency, high-performance analog, mixed-signal, digital signal processing, security engines, data compression and networking layers, and power management. Its products are used in various electronic devices, such as radio transceivers and modems for 4G/5G base-station and backhaul infrastructure; optical transceivers; wi-fi and wireline routers for home networking; broadband modems compliant with data over cable service interface specifications, passive optical fiber standards, and digital subscriber line, as well as power management and interface products. It serves electronics distributors, module makers, original equipment manufacturers, and original design manufacturer</w:t>
      </w:r>
    </w:p>
    <w:p>
      <w:pPr>
        <w:pStyle w:val="Compact"/>
        <w:numPr>
          <w:ilvl w:val="0"/>
          <w:numId w:val="1002"/>
        </w:numPr>
      </w:pPr>
      <w:r>
        <w:rPr>
          <w:rFonts w:hint="eastAsia"/>
        </w:rPr>
        <w:t xml:space="preserve">主要客户:</w:t>
      </w:r>
      <w:r>
        <w:t xml:space="preserve"> Cable/fiber gateway OEMs, data-center optical module makers, storage </w:t>
      </w:r>
      <w:r>
        <w:rPr>
          <w:rFonts w:hint="eastAsia"/>
        </w:rPr>
        <w:t xml:space="preserve">OEMs｜网关厂、光模块厂、存储厂</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TSMC/GlobalFoundries/UMC </w:t>
      </w:r>
      <w:r>
        <w:rPr>
          <w:rFonts w:hint="eastAsia"/>
        </w:rPr>
        <w:t xml:space="preserve">wafers｜晶圆代工</w:t>
      </w:r>
    </w:p>
    <w:p>
      <w:pPr>
        <w:pStyle w:val="Compact"/>
        <w:numPr>
          <w:ilvl w:val="0"/>
          <w:numId w:val="1003"/>
        </w:numPr>
      </w:pPr>
      <w:r>
        <w:rPr>
          <w:rFonts w:hint="eastAsia"/>
        </w:rPr>
        <w:t xml:space="preserve">竞争者</w:t>
      </w:r>
      <w:r>
        <w:t xml:space="preserve"> </w:t>
      </w:r>
      <w:r>
        <w:rPr>
          <w:rFonts w:hint="eastAsia"/>
        </w:rPr>
        <w:t xml:space="preserve">(含业外):</w:t>
      </w:r>
      <w:r>
        <w:t xml:space="preserve"> Broadcom, Marvell, Realtek, </w:t>
      </w:r>
      <w:r>
        <w:rPr>
          <w:rFonts w:hint="eastAsia"/>
        </w:rPr>
        <w:t xml:space="preserve">Credo｜博通、Marvell、瑞昱、Credo</w:t>
      </w:r>
    </w:p>
    <w:p>
      <w:pPr>
        <w:pStyle w:val="Compact"/>
        <w:numPr>
          <w:ilvl w:val="0"/>
          <w:numId w:val="1003"/>
        </w:numPr>
      </w:pPr>
      <w:r>
        <w:rPr>
          <w:rFonts w:hint="eastAsia"/>
        </w:rPr>
        <w:t xml:space="preserve">瓶颈/监管:</w:t>
      </w:r>
      <w:r>
        <w:t xml:space="preserve"> Keystone DSP qualification at </w:t>
      </w:r>
      <w:r>
        <w:rPr>
          <w:rFonts w:hint="eastAsia"/>
        </w:rPr>
        <w:t xml:space="preserve">hyperscalers｜Keystone</w:t>
      </w:r>
      <w:r>
        <w:t xml:space="preserve"> </w:t>
      </w:r>
      <w:r>
        <w:rPr>
          <w:rFonts w:hint="eastAsia"/>
        </w:rPr>
        <w:t xml:space="preserve">DSP在云厂认证</w:t>
      </w:r>
    </w:p>
    <w:p>
      <w:pPr>
        <w:pStyle w:val="Compact"/>
        <w:numPr>
          <w:ilvl w:val="0"/>
          <w:numId w:val="1003"/>
        </w:numPr>
      </w:pPr>
      <w:r>
        <w:rPr>
          <w:rFonts w:hint="eastAsia"/>
        </w:rPr>
        <w:t xml:space="preserve">关键KPI:</w:t>
      </w:r>
      <w:r>
        <w:t xml:space="preserve"> Infrastructure revenue, GM%, op margin, design </w:t>
      </w:r>
      <w:r>
        <w:rPr>
          <w:rFonts w:hint="eastAsia"/>
        </w:rPr>
        <w:t xml:space="preserve">wins｜基础设施收入、毛利率、营业利润率、设计订单</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0.2 bn USD</w:t>
            </w:r>
          </w:p>
        </w:tc>
        <w:tc>
          <w:tcPr/>
          <w:p>
            <w:pPr>
              <w:pStyle w:val="Compact"/>
            </w:pPr>
            <w:r>
              <w:t xml:space="preserve">97.7 mn USD</w:t>
            </w:r>
          </w:p>
        </w:tc>
        <w:tc>
          <w:tcPr/>
          <w:p>
            <w:pPr>
              <w:pStyle w:val="Compact"/>
            </w:pPr>
            <w:r>
              <w:t xml:space="preserve">-4.1 mn USD</w:t>
            </w:r>
          </w:p>
        </w:tc>
        <w:tc>
          <w:tcPr/>
          <w:p>
            <w:pPr>
              <w:pStyle w:val="Compact"/>
            </w:pPr>
            <w:r>
              <w:t xml:space="preserve">1.8 mn USD</w:t>
            </w:r>
          </w:p>
        </w:tc>
        <w:tc>
          <w:tcPr/>
          <w:p>
            <w:pPr>
              <w:pStyle w:val="Compact"/>
            </w:pPr>
            <w:r>
              <w:t xml:space="preserve">1.7 mn USD</w:t>
            </w:r>
          </w:p>
        </w:tc>
        <w:tc>
          <w:tcPr/>
          <w:p>
            <w:pPr>
              <w:pStyle w:val="Compact"/>
            </w:pPr>
            <w:r>
              <w:t xml:space="preserve">-2.4%</w:t>
            </w:r>
          </w:p>
        </w:tc>
      </w:tr>
      <w:tr>
        <w:tc>
          <w:tcPr/>
          <w:p>
            <w:pPr>
              <w:pStyle w:val="Compact"/>
            </w:pPr>
            <w:r>
              <w:t xml:space="preserve">2026-03-31</w:t>
            </w:r>
          </w:p>
        </w:tc>
        <w:tc>
          <w:tcPr/>
          <w:p>
            <w:pPr>
              <w:pStyle w:val="Compact"/>
            </w:pPr>
            <w:r>
              <w:t xml:space="preserve">0.1 bn USD</w:t>
            </w:r>
          </w:p>
        </w:tc>
        <w:tc>
          <w:tcPr/>
          <w:p>
            <w:pPr>
              <w:pStyle w:val="Compact"/>
            </w:pPr>
            <w:r>
              <w:t xml:space="preserve">78.9 mn USD</w:t>
            </w:r>
          </w:p>
        </w:tc>
        <w:tc>
          <w:tcPr/>
          <w:p>
            <w:pPr>
              <w:pStyle w:val="Compact"/>
            </w:pPr>
            <w:r>
              <w:t xml:space="preserve">-16.7 mn USD</w:t>
            </w:r>
          </w:p>
        </w:tc>
        <w:tc>
          <w:tcPr/>
          <w:p>
            <w:pPr>
              <w:pStyle w:val="Compact"/>
            </w:pPr>
            <w:r>
              <w:t xml:space="preserve">-45.1 mn USD</w:t>
            </w:r>
          </w:p>
        </w:tc>
        <w:tc>
          <w:tcPr/>
          <w:p>
            <w:pPr>
              <w:pStyle w:val="Compact"/>
            </w:pPr>
            <w:r>
              <w:t xml:space="preserve">-11.1 mn USD</w:t>
            </w:r>
          </w:p>
        </w:tc>
        <w:tc>
          <w:tcPr/>
          <w:p>
            <w:pPr>
              <w:pStyle w:val="Compact"/>
            </w:pPr>
            <w:r>
              <w:t xml:space="preserve">-12.2%</w:t>
            </w:r>
          </w:p>
        </w:tc>
      </w:tr>
      <w:tr>
        <w:tc>
          <w:tcPr/>
          <w:p>
            <w:pPr>
              <w:pStyle w:val="Compact"/>
            </w:pPr>
            <w:r>
              <w:t xml:space="preserve">2025-12-31</w:t>
            </w:r>
          </w:p>
        </w:tc>
        <w:tc>
          <w:tcPr/>
          <w:p>
            <w:pPr>
              <w:pStyle w:val="Compact"/>
            </w:pPr>
            <w:r>
              <w:t xml:space="preserve">0.1 bn USD</w:t>
            </w:r>
          </w:p>
        </w:tc>
        <w:tc>
          <w:tcPr/>
          <w:p>
            <w:pPr>
              <w:pStyle w:val="Compact"/>
            </w:pPr>
            <w:r>
              <w:t xml:space="preserve">78.6 mn USD</w:t>
            </w:r>
          </w:p>
        </w:tc>
        <w:tc>
          <w:tcPr/>
          <w:p>
            <w:pPr>
              <w:pStyle w:val="Compact"/>
            </w:pPr>
            <w:r>
              <w:t xml:space="preserve">-15.1 mn USD</w:t>
            </w:r>
          </w:p>
        </w:tc>
        <w:tc>
          <w:tcPr/>
          <w:p>
            <w:pPr>
              <w:pStyle w:val="Compact"/>
            </w:pPr>
            <w:r>
              <w:t xml:space="preserve">-14.9 mn USD</w:t>
            </w:r>
          </w:p>
        </w:tc>
        <w:tc>
          <w:tcPr/>
          <w:p>
            <w:pPr>
              <w:pStyle w:val="Compact"/>
            </w:pPr>
            <w:r>
              <w:t xml:space="preserve">6.7 mn USD</w:t>
            </w:r>
          </w:p>
        </w:tc>
        <w:tc>
          <w:tcPr/>
          <w:p>
            <w:pPr>
              <w:pStyle w:val="Compact"/>
            </w:pPr>
            <w:r>
              <w:t xml:space="preserve">-11.1%</w:t>
            </w:r>
          </w:p>
        </w:tc>
      </w:tr>
      <w:tr>
        <w:tc>
          <w:tcPr/>
          <w:p>
            <w:pPr>
              <w:pStyle w:val="Compact"/>
            </w:pPr>
            <w:r>
              <w:t xml:space="preserve">2025-09-30</w:t>
            </w:r>
          </w:p>
        </w:tc>
        <w:tc>
          <w:tcPr/>
          <w:p>
            <w:pPr>
              <w:pStyle w:val="Compact"/>
            </w:pPr>
            <w:r>
              <w:t xml:space="preserve">0.1 bn USD</w:t>
            </w:r>
          </w:p>
        </w:tc>
        <w:tc>
          <w:tcPr/>
          <w:p>
            <w:pPr>
              <w:pStyle w:val="Compact"/>
            </w:pPr>
            <w:r>
              <w:t xml:space="preserve">71.9 mn USD</w:t>
            </w:r>
          </w:p>
        </w:tc>
        <w:tc>
          <w:tcPr/>
          <w:p>
            <w:pPr>
              <w:pStyle w:val="Compact"/>
            </w:pPr>
            <w:r>
              <w:t xml:space="preserve">-30.0 mn USD</w:t>
            </w:r>
          </w:p>
        </w:tc>
        <w:tc>
          <w:tcPr/>
          <w:p>
            <w:pPr>
              <w:pStyle w:val="Compact"/>
            </w:pPr>
            <w:r>
              <w:t xml:space="preserve">-45.5 mn USD</w:t>
            </w:r>
          </w:p>
        </w:tc>
        <w:tc>
          <w:tcPr/>
          <w:p>
            <w:pPr>
              <w:pStyle w:val="Compact"/>
            </w:pPr>
            <w:r>
              <w:t xml:space="preserve">3.4 mn USD</w:t>
            </w:r>
          </w:p>
        </w:tc>
        <w:tc>
          <w:tcPr/>
          <w:p>
            <w:pPr>
              <w:pStyle w:val="Compact"/>
            </w:pPr>
            <w:r>
              <w:t xml:space="preserve">-23.7%</w:t>
            </w:r>
          </w:p>
        </w:tc>
      </w:tr>
      <w:tr>
        <w:tc>
          <w:tcPr/>
          <w:p>
            <w:pPr>
              <w:pStyle w:val="Compact"/>
            </w:pPr>
            <w:r>
              <w:t xml:space="preserve">2025-06-30</w:t>
            </w:r>
          </w:p>
        </w:tc>
        <w:tc>
          <w:tcPr/>
          <w:p>
            <w:pPr>
              <w:pStyle w:val="Compact"/>
            </w:pPr>
            <w:r>
              <w:t xml:space="preserve">0.1 bn USD</w:t>
            </w:r>
          </w:p>
        </w:tc>
        <w:tc>
          <w:tcPr/>
          <w:p>
            <w:pPr>
              <w:pStyle w:val="Compact"/>
            </w:pPr>
            <w:r>
              <w:t xml:space="preserve">61.5 mn USD</w:t>
            </w:r>
          </w:p>
        </w:tc>
        <w:tc>
          <w:tcPr/>
          <w:p>
            <w:pPr>
              <w:pStyle w:val="Compact"/>
            </w:pPr>
            <w:r>
              <w:t xml:space="preserve">-19.0 mn USD</w:t>
            </w:r>
          </w:p>
        </w:tc>
        <w:tc>
          <w:tcPr/>
          <w:p>
            <w:pPr>
              <w:pStyle w:val="Compact"/>
            </w:pPr>
            <w:r>
              <w:t xml:space="preserve">-26.6 mn USD</w:t>
            </w:r>
          </w:p>
        </w:tc>
        <w:tc>
          <w:tcPr/>
          <w:p>
            <w:pPr>
              <w:pStyle w:val="Compact"/>
            </w:pPr>
            <w:r>
              <w:t xml:space="preserve">3.1 mn USD</w:t>
            </w:r>
          </w:p>
        </w:tc>
        <w:tc>
          <w:tcPr/>
          <w:p>
            <w:pPr>
              <w:pStyle w:val="Compact"/>
            </w:pPr>
            <w:r>
              <w:t xml:space="preserve">-17.5%</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64.8 mn </w:t>
      </w:r>
      <w:r>
        <w:rPr>
          <w:rFonts w:hint="eastAsia"/>
        </w:rPr>
        <w:t xml:space="preserve">USD；总负债</w:t>
      </w:r>
      <w:r>
        <w:t xml:space="preserve"> 0.1 bn </w:t>
      </w:r>
      <w:r>
        <w:rPr>
          <w:rFonts w:hint="eastAsia"/>
        </w:rPr>
        <w:t xml:space="preserve">USD；净现金</w:t>
      </w:r>
      <w:r>
        <w:t xml:space="preserve"> -83.4 mn USD。TTM FCF 0.7 mn </w:t>
      </w:r>
      <w:r>
        <w:rPr>
          <w:rFonts w:hint="eastAsia"/>
        </w:rPr>
        <w:t xml:space="preserve">USD（FCF率</w:t>
      </w:r>
      <w:r>
        <w:t xml:space="preserve"> </w:t>
      </w:r>
      <w:r>
        <w:rPr>
          <w:rFonts w:hint="eastAsia"/>
        </w:rPr>
        <w:t xml:space="preserve">0.1%）。</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0.14</w:t>
            </w:r>
          </w:p>
        </w:tc>
        <w:tc>
          <w:tcPr/>
          <w:p>
            <w:pPr>
              <w:pStyle w:val="Compact"/>
            </w:pPr>
            <w:r>
              <w:t xml:space="preserve">0.1191</w:t>
            </w:r>
          </w:p>
        </w:tc>
        <w:tc>
          <w:tcPr/>
          <w:p>
            <w:pPr>
              <w:pStyle w:val="Compact"/>
            </w:pPr>
            <w:r>
              <w:t xml:space="preserve">0.17549999</w:t>
            </w:r>
          </w:p>
        </w:tc>
      </w:tr>
      <w:tr>
        <w:tc>
          <w:tcPr/>
          <w:p>
            <w:pPr>
              <w:pStyle w:val="Compact"/>
            </w:pPr>
            <w:r>
              <w:t xml:space="preserve">2025-12-31</w:t>
            </w:r>
          </w:p>
        </w:tc>
        <w:tc>
          <w:tcPr/>
          <w:p>
            <w:pPr>
              <w:pStyle w:val="Compact"/>
            </w:pPr>
            <w:r>
              <w:t xml:space="preserve">0.19</w:t>
            </w:r>
          </w:p>
        </w:tc>
        <w:tc>
          <w:tcPr/>
          <w:p>
            <w:pPr>
              <w:pStyle w:val="Compact"/>
            </w:pPr>
            <w:r>
              <w:t xml:space="preserve">0.17875</w:t>
            </w:r>
          </w:p>
        </w:tc>
        <w:tc>
          <w:tcPr/>
          <w:p>
            <w:pPr>
              <w:pStyle w:val="Compact"/>
            </w:pPr>
            <w:r>
              <w:t xml:space="preserve">0.0629</w:t>
            </w:r>
          </w:p>
        </w:tc>
      </w:tr>
      <w:tr>
        <w:tc>
          <w:tcPr/>
          <w:p>
            <w:pPr>
              <w:pStyle w:val="Compact"/>
            </w:pPr>
            <w:r>
              <w:t xml:space="preserve">2026-03-31</w:t>
            </w:r>
          </w:p>
        </w:tc>
        <w:tc>
          <w:tcPr/>
          <w:p>
            <w:pPr>
              <w:pStyle w:val="Compact"/>
            </w:pPr>
            <w:r>
              <w:t xml:space="preserve">0.22</w:t>
            </w:r>
          </w:p>
        </w:tc>
        <w:tc>
          <w:tcPr/>
          <w:p>
            <w:pPr>
              <w:pStyle w:val="Compact"/>
            </w:pPr>
            <w:r>
              <w:t xml:space="preserve">0.17523</w:t>
            </w:r>
          </w:p>
        </w:tc>
        <w:tc>
          <w:tcPr/>
          <w:p>
            <w:pPr>
              <w:pStyle w:val="Compact"/>
            </w:pPr>
            <w:r>
              <w:t xml:space="preserve">0.2555</w:t>
            </w:r>
          </w:p>
        </w:tc>
      </w:tr>
      <w:tr>
        <w:tc>
          <w:tcPr/>
          <w:p>
            <w:pPr>
              <w:pStyle w:val="Compact"/>
            </w:pPr>
            <w:r>
              <w:t xml:space="preserve">2026-06-30</w:t>
            </w:r>
          </w:p>
        </w:tc>
        <w:tc>
          <w:tcPr/>
          <w:p>
            <w:pPr>
              <w:pStyle w:val="Compact"/>
            </w:pPr>
            <w:r>
              <w:t xml:space="preserve">0.35</w:t>
            </w:r>
          </w:p>
        </w:tc>
        <w:tc>
          <w:tcPr/>
          <w:p>
            <w:pPr>
              <w:pStyle w:val="Compact"/>
            </w:pPr>
            <w:r>
              <w:t xml:space="preserve">0.32952</w:t>
            </w:r>
          </w:p>
        </w:tc>
        <w:tc>
          <w:tcPr/>
          <w:p>
            <w:pPr>
              <w:pStyle w:val="Compact"/>
            </w:pPr>
            <w:r>
              <w:t xml:space="preserve">0.0622</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2026-10-23</w:t>
      </w:r>
      <w:r>
        <w:rPr>
          <w:rFonts w:hint="eastAsia"/>
        </w:rPr>
        <w:t xml:space="preserve">；本季EPS一致预期</w:t>
      </w:r>
      <w:r>
        <w:t xml:space="preserve"> </w:t>
      </w:r>
      <w:r>
        <w:rPr>
          <w:rFonts w:hint="eastAsia"/>
        </w:rPr>
        <w:t xml:space="preserve">0.55778（9位分析师）；收入一致预期</w:t>
      </w:r>
      <w:r>
        <w:t xml:space="preserve"> 0.2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$3.13</w:t>
            </w:r>
          </w:p>
        </w:tc>
        <w:tc>
          <w:tcPr/>
          <w:p>
            <w:pPr>
              <w:pStyle w:val="Compact"/>
            </w:pPr>
            <w:r>
              <w:t xml:space="preserve">-96.5%</w:t>
            </w:r>
          </w:p>
        </w:tc>
      </w:tr>
      <w:tr>
        <w:tc>
          <w:tcPr/>
          <w:p>
            <w:pPr>
              <w:pStyle w:val="Compact"/>
            </w:pPr>
            <w:r>
              <w:t xml:space="preserve">2Q</w:t>
            </w:r>
          </w:p>
        </w:tc>
        <w:tc>
          <w:tcPr/>
          <w:p>
            <w:pPr>
              <w:pStyle w:val="Compact"/>
            </w:pPr>
            <w:r>
              <w:t xml:space="preserve">Base</w:t>
            </w:r>
          </w:p>
        </w:tc>
        <w:tc>
          <w:tcPr/>
          <w:p>
            <w:pPr>
              <w:pStyle w:val="Compact"/>
            </w:pPr>
            <w:r>
              <w:t xml:space="preserve">$9.13</w:t>
            </w:r>
          </w:p>
        </w:tc>
        <w:tc>
          <w:tcPr/>
          <w:p>
            <w:pPr>
              <w:pStyle w:val="Compact"/>
            </w:pPr>
            <w:r>
              <w:t xml:space="preserve">-89.7%</w:t>
            </w:r>
          </w:p>
        </w:tc>
      </w:tr>
      <w:tr>
        <w:tc>
          <w:tcPr/>
          <w:p>
            <w:pPr>
              <w:pStyle w:val="Compact"/>
            </w:pPr>
            <w:r>
              <w:t xml:space="preserve">2Q</w:t>
            </w:r>
          </w:p>
        </w:tc>
        <w:tc>
          <w:tcPr/>
          <w:p>
            <w:pPr>
              <w:pStyle w:val="Compact"/>
            </w:pPr>
            <w:r>
              <w:t xml:space="preserve">Bull</w:t>
            </w:r>
          </w:p>
        </w:tc>
        <w:tc>
          <w:tcPr/>
          <w:p>
            <w:pPr>
              <w:pStyle w:val="Compact"/>
            </w:pPr>
            <w:r>
              <w:t xml:space="preserve">$16.91</w:t>
            </w:r>
          </w:p>
        </w:tc>
        <w:tc>
          <w:tcPr/>
          <w:p>
            <w:pPr>
              <w:pStyle w:val="Compact"/>
            </w:pPr>
            <w:r>
              <w:t xml:space="preserve">-81.0%</w:t>
            </w:r>
          </w:p>
        </w:tc>
      </w:tr>
      <w:tr>
        <w:tc>
          <w:tcPr/>
          <w:p>
            <w:pPr>
              <w:pStyle w:val="Compact"/>
            </w:pPr>
            <w:r>
              <w:t xml:space="preserve">4Q</w:t>
            </w:r>
          </w:p>
        </w:tc>
        <w:tc>
          <w:tcPr/>
          <w:p>
            <w:pPr>
              <w:pStyle w:val="Compact"/>
            </w:pPr>
            <w:r>
              <w:t xml:space="preserve">Bear</w:t>
            </w:r>
          </w:p>
        </w:tc>
        <w:tc>
          <w:tcPr/>
          <w:p>
            <w:pPr>
              <w:pStyle w:val="Compact"/>
            </w:pPr>
            <w:r>
              <w:t xml:space="preserve">$4.49</w:t>
            </w:r>
          </w:p>
        </w:tc>
        <w:tc>
          <w:tcPr/>
          <w:p>
            <w:pPr>
              <w:pStyle w:val="Compact"/>
            </w:pPr>
            <w:r>
              <w:t xml:space="preserve">-94.9%</w:t>
            </w:r>
          </w:p>
        </w:tc>
      </w:tr>
      <w:tr>
        <w:tc>
          <w:tcPr/>
          <w:p>
            <w:pPr>
              <w:pStyle w:val="Compact"/>
            </w:pPr>
            <w:r>
              <w:t xml:space="preserve">4Q</w:t>
            </w:r>
          </w:p>
        </w:tc>
        <w:tc>
          <w:tcPr/>
          <w:p>
            <w:pPr>
              <w:pStyle w:val="Compact"/>
            </w:pPr>
            <w:r>
              <w:t xml:space="preserve">Base</w:t>
            </w:r>
          </w:p>
        </w:tc>
        <w:tc>
          <w:tcPr/>
          <w:p>
            <w:pPr>
              <w:pStyle w:val="Compact"/>
            </w:pPr>
            <w:r>
              <w:t xml:space="preserve">$13.37</w:t>
            </w:r>
          </w:p>
        </w:tc>
        <w:tc>
          <w:tcPr/>
          <w:p>
            <w:pPr>
              <w:pStyle w:val="Compact"/>
            </w:pPr>
            <w:r>
              <w:t xml:space="preserve">-85.0%</w:t>
            </w:r>
          </w:p>
        </w:tc>
      </w:tr>
      <w:tr>
        <w:tc>
          <w:tcPr/>
          <w:p>
            <w:pPr>
              <w:pStyle w:val="Compact"/>
            </w:pPr>
            <w:r>
              <w:t xml:space="preserve">4Q</w:t>
            </w:r>
          </w:p>
        </w:tc>
        <w:tc>
          <w:tcPr/>
          <w:p>
            <w:pPr>
              <w:pStyle w:val="Compact"/>
            </w:pPr>
            <w:r>
              <w:t xml:space="preserve">Bull</w:t>
            </w:r>
          </w:p>
        </w:tc>
        <w:tc>
          <w:tcPr/>
          <w:p>
            <w:pPr>
              <w:pStyle w:val="Compact"/>
            </w:pPr>
            <w:r>
              <w:t xml:space="preserve">$25.35</w:t>
            </w:r>
          </w:p>
        </w:tc>
        <w:tc>
          <w:tcPr/>
          <w:p>
            <w:pPr>
              <w:pStyle w:val="Compact"/>
            </w:pPr>
            <w:r>
              <w:t xml:space="preserve">-71.5%</w:t>
            </w:r>
          </w:p>
        </w:tc>
      </w:tr>
      <w:tr>
        <w:tc>
          <w:tcPr/>
          <w:p>
            <w:pPr>
              <w:pStyle w:val="Compact"/>
            </w:pPr>
            <w:r>
              <w:t xml:space="preserve">6Q</w:t>
            </w:r>
          </w:p>
        </w:tc>
        <w:tc>
          <w:tcPr/>
          <w:p>
            <w:pPr>
              <w:pStyle w:val="Compact"/>
            </w:pPr>
            <w:r>
              <w:t xml:space="preserve">Bear</w:t>
            </w:r>
          </w:p>
        </w:tc>
        <w:tc>
          <w:tcPr/>
          <w:p>
            <w:pPr>
              <w:pStyle w:val="Compact"/>
            </w:pPr>
            <w:r>
              <w:t xml:space="preserve">$5.86</w:t>
            </w:r>
          </w:p>
        </w:tc>
        <w:tc>
          <w:tcPr/>
          <w:p>
            <w:pPr>
              <w:pStyle w:val="Compact"/>
            </w:pPr>
            <w:r>
              <w:t xml:space="preserve">-93.4%</w:t>
            </w:r>
          </w:p>
        </w:tc>
      </w:tr>
      <w:tr>
        <w:tc>
          <w:tcPr/>
          <w:p>
            <w:pPr>
              <w:pStyle w:val="Compact"/>
            </w:pPr>
            <w:r>
              <w:t xml:space="preserve">6Q</w:t>
            </w:r>
          </w:p>
        </w:tc>
        <w:tc>
          <w:tcPr/>
          <w:p>
            <w:pPr>
              <w:pStyle w:val="Compact"/>
            </w:pPr>
            <w:r>
              <w:t xml:space="preserve">Base</w:t>
            </w:r>
          </w:p>
        </w:tc>
        <w:tc>
          <w:tcPr/>
          <w:p>
            <w:pPr>
              <w:pStyle w:val="Compact"/>
            </w:pPr>
            <w:r>
              <w:t xml:space="preserve">$18.15</w:t>
            </w:r>
          </w:p>
        </w:tc>
        <w:tc>
          <w:tcPr/>
          <w:p>
            <w:pPr>
              <w:pStyle w:val="Compact"/>
            </w:pPr>
            <w:r>
              <w:t xml:space="preserve">-79.6%</w:t>
            </w:r>
          </w:p>
        </w:tc>
      </w:tr>
      <w:tr>
        <w:tc>
          <w:tcPr/>
          <w:p>
            <w:pPr>
              <w:pStyle w:val="Compact"/>
            </w:pPr>
            <w:r>
              <w:t xml:space="preserve">6Q</w:t>
            </w:r>
          </w:p>
        </w:tc>
        <w:tc>
          <w:tcPr/>
          <w:p>
            <w:pPr>
              <w:pStyle w:val="Compact"/>
            </w:pPr>
            <w:r>
              <w:t xml:space="preserve">Bull</w:t>
            </w:r>
          </w:p>
        </w:tc>
        <w:tc>
          <w:tcPr/>
          <w:p>
            <w:pPr>
              <w:pStyle w:val="Compact"/>
            </w:pPr>
            <w:r>
              <w:t xml:space="preserve">$35.42</w:t>
            </w:r>
          </w:p>
        </w:tc>
        <w:tc>
          <w:tcPr/>
          <w:p>
            <w:pPr>
              <w:pStyle w:val="Compact"/>
            </w:pPr>
            <w:r>
              <w:t xml:space="preserve">-60.2%</w:t>
            </w:r>
          </w:p>
        </w:tc>
      </w:tr>
      <w:tr>
        <w:tc>
          <w:tcPr/>
          <w:p>
            <w:pPr>
              <w:pStyle w:val="Compact"/>
            </w:pPr>
            <w:r>
              <w:t xml:space="preserve">8Q</w:t>
            </w:r>
          </w:p>
        </w:tc>
        <w:tc>
          <w:tcPr/>
          <w:p>
            <w:pPr>
              <w:pStyle w:val="Compact"/>
            </w:pPr>
            <w:r>
              <w:t xml:space="preserve">Bear</w:t>
            </w:r>
          </w:p>
        </w:tc>
        <w:tc>
          <w:tcPr/>
          <w:p>
            <w:pPr>
              <w:pStyle w:val="Compact"/>
            </w:pPr>
            <w:r>
              <w:t xml:space="preserve">$7.23</w:t>
            </w:r>
          </w:p>
        </w:tc>
        <w:tc>
          <w:tcPr/>
          <w:p>
            <w:pPr>
              <w:pStyle w:val="Compact"/>
            </w:pPr>
            <w:r>
              <w:t xml:space="preserve">-91.9%</w:t>
            </w:r>
          </w:p>
        </w:tc>
      </w:tr>
      <w:tr>
        <w:tc>
          <w:tcPr/>
          <w:p>
            <w:pPr>
              <w:pStyle w:val="Compact"/>
            </w:pPr>
            <w:r>
              <w:t xml:space="preserve">8Q</w:t>
            </w:r>
          </w:p>
        </w:tc>
        <w:tc>
          <w:tcPr/>
          <w:p>
            <w:pPr>
              <w:pStyle w:val="Compact"/>
            </w:pPr>
            <w:r>
              <w:t xml:space="preserve">Base</w:t>
            </w:r>
          </w:p>
        </w:tc>
        <w:tc>
          <w:tcPr/>
          <w:p>
            <w:pPr>
              <w:pStyle w:val="Compact"/>
            </w:pPr>
            <w:r>
              <w:t xml:space="preserve">$23.53</w:t>
            </w:r>
          </w:p>
        </w:tc>
        <w:tc>
          <w:tcPr/>
          <w:p>
            <w:pPr>
              <w:pStyle w:val="Compact"/>
            </w:pPr>
            <w:r>
              <w:t xml:space="preserve">-73.6%</w:t>
            </w:r>
          </w:p>
        </w:tc>
      </w:tr>
      <w:tr>
        <w:tc>
          <w:tcPr/>
          <w:p>
            <w:pPr>
              <w:pStyle w:val="Compact"/>
            </w:pPr>
            <w:r>
              <w:t xml:space="preserve">8Q</w:t>
            </w:r>
          </w:p>
        </w:tc>
        <w:tc>
          <w:tcPr/>
          <w:p>
            <w:pPr>
              <w:pStyle w:val="Compact"/>
            </w:pPr>
            <w:r>
              <w:t xml:space="preserve">Bull</w:t>
            </w:r>
          </w:p>
        </w:tc>
        <w:tc>
          <w:tcPr/>
          <w:p>
            <w:pPr>
              <w:pStyle w:val="Compact"/>
            </w:pPr>
            <w:r>
              <w:t xml:space="preserve">$47.36</w:t>
            </w:r>
          </w:p>
        </w:tc>
        <w:tc>
          <w:tcPr/>
          <w:p>
            <w:pPr>
              <w:pStyle w:val="Compact"/>
            </w:pPr>
            <w:r>
              <w:t xml:space="preserve">-46.8%</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211.4x</w:t>
            </w:r>
          </w:p>
        </w:tc>
      </w:tr>
      <w:tr>
        <w:tc>
          <w:tcPr/>
          <w:p>
            <w:pPr>
              <w:pStyle w:val="Compact"/>
            </w:pPr>
            <w:r>
              <w:t xml:space="preserve">4Q</w:t>
            </w:r>
          </w:p>
        </w:tc>
        <w:tc>
          <w:tcPr/>
          <w:p>
            <w:pPr>
              <w:pStyle w:val="Compact"/>
            </w:pPr>
            <w:r>
              <w:t xml:space="preserve">140.0x</w:t>
            </w:r>
          </w:p>
        </w:tc>
      </w:tr>
      <w:tr>
        <w:tc>
          <w:tcPr/>
          <w:p>
            <w:pPr>
              <w:pStyle w:val="Compact"/>
            </w:pPr>
            <w:r>
              <w:t xml:space="preserve">6Q</w:t>
            </w:r>
          </w:p>
        </w:tc>
        <w:tc>
          <w:tcPr/>
          <w:p>
            <w:pPr>
              <w:pStyle w:val="Compact"/>
            </w:pPr>
            <w:r>
              <w:t xml:space="preserve">98.6x</w:t>
            </w:r>
          </w:p>
        </w:tc>
      </w:tr>
      <w:tr>
        <w:tc>
          <w:tcPr/>
          <w:p>
            <w:pPr>
              <w:pStyle w:val="Compact"/>
            </w:pPr>
            <w:r>
              <w:t xml:space="preserve">8Q</w:t>
            </w:r>
          </w:p>
        </w:tc>
        <w:tc>
          <w:tcPr/>
          <w:p>
            <w:pPr>
              <w:pStyle w:val="Compact"/>
            </w:pPr>
            <w:r>
              <w:t xml:space="preserve">72.3x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14.9%</w:t>
            </w:r>
          </w:p>
        </w:tc>
        <w:tc>
          <w:tcPr/>
          <w:p>
            <w:pPr>
              <w:pStyle w:val="Compact"/>
            </w:pPr>
            <w:r>
              <w:t xml:space="preserve">12.0%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$8.03</w:t>
            </w:r>
          </w:p>
        </w:tc>
        <w:tc>
          <w:tcPr/>
          <w:p>
            <w:pPr>
              <w:pStyle w:val="Compact"/>
            </w:pPr>
            <w:r>
              <w:t xml:space="preserve">-91.0%</w:t>
            </w:r>
          </w:p>
        </w:tc>
      </w:tr>
      <w:tr>
        <w:tc>
          <w:tcPr/>
          <w:p>
            <w:pPr>
              <w:pStyle w:val="Compact"/>
            </w:pPr>
            <w:r>
              <w:t xml:space="preserve">Base</w:t>
            </w:r>
          </w:p>
        </w:tc>
        <w:tc>
          <w:tcPr/>
          <w:p>
            <w:pPr>
              <w:pStyle w:val="Compact"/>
            </w:pPr>
            <w:r>
              <w:t xml:space="preserve">29.9%</w:t>
            </w:r>
          </w:p>
        </w:tc>
        <w:tc>
          <w:tcPr/>
          <w:p>
            <w:pPr>
              <w:pStyle w:val="Compact"/>
            </w:pPr>
            <w:r>
              <w:t xml:space="preserve">15.0%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$22.35</w:t>
            </w:r>
          </w:p>
        </w:tc>
        <w:tc>
          <w:tcPr/>
          <w:p>
            <w:pPr>
              <w:pStyle w:val="Compact"/>
            </w:pPr>
            <w:r>
              <w:t xml:space="preserve">-74.9%</w:t>
            </w:r>
          </w:p>
        </w:tc>
      </w:tr>
      <w:tr>
        <w:tc>
          <w:tcPr/>
          <w:p>
            <w:pPr>
              <w:pStyle w:val="Compact"/>
            </w:pPr>
            <w:r>
              <w:t xml:space="preserve">Bull</w:t>
            </w:r>
          </w:p>
        </w:tc>
        <w:tc>
          <w:tcPr/>
          <w:p>
            <w:pPr>
              <w:pStyle w:val="Compact"/>
            </w:pPr>
            <w:r>
              <w:t xml:space="preserve">38.8%</w:t>
            </w:r>
          </w:p>
        </w:tc>
        <w:tc>
          <w:tcPr/>
          <w:p>
            <w:pPr>
              <w:pStyle w:val="Compact"/>
            </w:pPr>
            <w:r>
              <w:t xml:space="preserve">17.2%</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$40.82</w:t>
            </w:r>
          </w:p>
        </w:tc>
        <w:tc>
          <w:tcPr/>
          <w:p>
            <w:pPr>
              <w:pStyle w:val="Compact"/>
            </w:pPr>
            <w:r>
              <w:t xml:space="preserve">-54.1%</w:t>
            </w:r>
          </w:p>
        </w:tc>
      </w:tr>
    </w:tbl>
    <w:p>
      <w:pPr>
        <w:pStyle w:val="BodyText"/>
      </w:pPr>
      <w:r>
        <w:rPr>
          <w:rFonts w:hint="eastAsia"/>
        </w:rPr>
        <w:t xml:space="preserve">概率加权价值</w:t>
      </w:r>
      <w:r>
        <w:t xml:space="preserve"> </w:t>
      </w:r>
      <w:r>
        <w:rPr>
          <w:b/>
          <w:bCs/>
        </w:rPr>
        <w:t xml:space="preserve">$23.39</w:t>
      </w:r>
      <w:r>
        <w:rPr>
          <w:rFonts w:hint="eastAsia"/>
        </w:rPr>
        <w:t xml:space="preserve">（相对现价</w:t>
      </w:r>
      <w:r>
        <w:t xml:space="preserve"> </w:t>
      </w:r>
      <w:r>
        <w:rPr>
          <w:rFonts w:hint="eastAsia"/>
        </w:rPr>
        <w:t xml:space="preserve">-73.7%）。</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2.1 bn </w:t>
      </w:r>
      <w:r>
        <w:rPr>
          <w:rFonts w:hint="eastAsia"/>
        </w:rPr>
        <w:t xml:space="preserve">USD；终值占比</w:t>
      </w:r>
      <w:r>
        <w:t xml:space="preserve"> 52.5%。</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69.0%</w:t>
      </w:r>
      <w:r>
        <w:rPr>
          <w:rFonts w:hint="eastAsia"/>
        </w:rPr>
        <w:t xml:space="preserve">；一致预期FY+1增速</w:t>
      </w:r>
      <w:r>
        <w:t xml:space="preserve"> 29.9%。</w:t>
      </w:r>
    </w:p>
    <w:p>
      <w:pPr>
        <w:numPr>
          <w:ilvl w:val="0"/>
          <w:numId w:val="1005"/>
        </w:numPr>
      </w:pPr>
      <w:r>
        <w:t xml:space="preserve">WACC (CAPM) = rf 5.2% + β 1.60 × ERP 5.0% = 13.2%。</w:t>
      </w:r>
    </w:p>
    <w:p>
      <w:pPr>
        <w:numPr>
          <w:ilvl w:val="0"/>
          <w:numId w:val="1005"/>
        </w:numPr>
      </w:pPr>
      <w:r>
        <w:t xml:space="preserve">SOTP segments </w:t>
      </w:r>
      <w:r>
        <w:rPr>
          <w:rFonts w:hint="eastAsia"/>
        </w:rPr>
        <w:t xml:space="preserve">分部:</w:t>
      </w:r>
      <w:r>
        <w:t xml:space="preserve"> Broadband </w:t>
      </w:r>
      <w:r>
        <w:rPr>
          <w:rFonts w:hint="eastAsia"/>
        </w:rPr>
        <w:t xml:space="preserve">宽带;</w:t>
      </w:r>
      <w:r>
        <w:t xml:space="preserve"> Connectivity </w:t>
      </w:r>
      <w:r>
        <w:rPr>
          <w:rFonts w:hint="eastAsia"/>
        </w:rPr>
        <w:t xml:space="preserve">连接;</w:t>
      </w:r>
      <w:r>
        <w:t xml:space="preserve"> Infrastructure (Keystone PAM4 DSP, storage accel.) </w:t>
      </w:r>
      <w:r>
        <w:rPr>
          <w:rFonts w:hint="eastAsia"/>
        </w:rPr>
        <w:t xml:space="preserve">基础设施.</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MXL | 8.1 bn USD | 14.3x | 34.1x | 55.2% | 57.5% | 0.0% |</w:t>
      </w:r>
      <w:r>
        <w:t xml:space="preserve"> </w:t>
      </w:r>
      <w:r>
        <w:t xml:space="preserve">| MRVL | 238.9 bn USD | 24.8x | 36.5x | 36.5% | 52.2% | 1.0% |</w:t>
      </w:r>
      <w:r>
        <w:t xml:space="preserve"> </w:t>
      </w:r>
      <w:r>
        <w:t xml:space="preserve">| CRDO | 37.7 bn USD | 23.3x | 20.7x | 114.7% | 67.1% | 0.7% |</w:t>
      </w:r>
      <w:r>
        <w:t xml:space="preserve"> </w:t>
      </w:r>
      <w:r>
        <w:t xml:space="preserve">| AVGO | 1,693.3 bn USD | 19.4x | 18.3x | 85.5% | 75.5% | 1.8% |</w:t>
      </w:r>
      <w:r>
        <w:t xml:space="preserve"> </w:t>
      </w:r>
      <w:r>
        <w:t xml:space="preserve">| SIMO | 8.4 bn USD | 6.4x | 15.6x | 127.0% | 48.9% | -2.4%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Design wins don’t convert; legal overhang (Silicon Motion merger </w:t>
      </w:r>
      <w:r>
        <w:rPr>
          <w:rFonts w:hint="eastAsia"/>
        </w:rPr>
        <w:t xml:space="preserve">dispute)｜订单不转化；与慧荣并购纠纷诉讼</w:t>
      </w:r>
    </w:p>
    <w:p>
      <w:pPr>
        <w:pStyle w:val="Compact"/>
        <w:numPr>
          <w:ilvl w:val="0"/>
          <w:numId w:val="1006"/>
        </w:numPr>
      </w:pPr>
      <w:r>
        <w:rPr>
          <w:rFonts w:hint="eastAsia"/>
        </w:rPr>
        <w:t xml:space="preserve">证伪指标:</w:t>
      </w:r>
      <w:r>
        <w:t xml:space="preserve"> Infrastructure revenue flat; continued operating </w:t>
      </w:r>
      <w:r>
        <w:rPr>
          <w:rFonts w:hint="eastAsia"/>
        </w:rPr>
        <w:t xml:space="preserve">losses｜基础设施收入持平；持续经营亏损</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88.99</w:t>
            </w:r>
          </w:p>
        </w:tc>
        <w:tc>
          <w:tcPr/>
          <w:p>
            <w:pPr>
              <w:pStyle w:val="Compact"/>
            </w:pPr>
            <w:r>
              <w:t xml:space="preserve">Yahoo Finance quote, fetched 2026-10-13T16:22 SGT</w:t>
            </w:r>
          </w:p>
        </w:tc>
      </w:tr>
      <w:tr>
        <w:tc>
          <w:tcPr/>
          <w:p>
            <w:pPr>
              <w:pStyle w:val="Compact"/>
            </w:pPr>
            <w:r>
              <w:t xml:space="preserve">Market cap </w:t>
            </w:r>
            <w:r>
              <w:rPr>
                <w:rFonts w:hint="eastAsia"/>
              </w:rPr>
              <w:t xml:space="preserve">市值</w:t>
            </w:r>
          </w:p>
        </w:tc>
        <w:tc>
          <w:tcPr/>
          <w:p>
            <w:pPr>
              <w:pStyle w:val="Compact"/>
            </w:pPr>
            <w:r>
              <w:t xml:space="preserve">8.071e+09</w:t>
            </w:r>
          </w:p>
        </w:tc>
        <w:tc>
          <w:tcPr/>
          <w:p>
            <w:pPr>
              <w:pStyle w:val="Compact"/>
            </w:pPr>
            <w:r>
              <w:t xml:space="preserve">Yahoo info.marketCap 2026-10-13T16:22</w:t>
            </w:r>
          </w:p>
        </w:tc>
      </w:tr>
      <w:tr>
        <w:tc>
          <w:tcPr/>
          <w:p>
            <w:pPr>
              <w:pStyle w:val="Compact"/>
            </w:pPr>
            <w:r>
              <w:t xml:space="preserve">Cash </w:t>
            </w:r>
            <w:r>
              <w:rPr>
                <w:rFonts w:hint="eastAsia"/>
              </w:rPr>
              <w:t xml:space="preserve">现金</w:t>
            </w:r>
          </w:p>
        </w:tc>
        <w:tc>
          <w:tcPr/>
          <w:p>
            <w:pPr>
              <w:pStyle w:val="Compact"/>
            </w:pPr>
            <w:r>
              <w:t xml:space="preserve">6.481e+07</w:t>
            </w:r>
          </w:p>
        </w:tc>
        <w:tc>
          <w:tcPr/>
          <w:p>
            <w:pPr>
              <w:pStyle w:val="Compact"/>
            </w:pPr>
            <w:r>
              <w:t xml:space="preserve">Yahoo info.totalCash (latest filing) 2026-10-13T16:22</w:t>
            </w:r>
          </w:p>
        </w:tc>
      </w:tr>
      <w:tr>
        <w:tc>
          <w:tcPr/>
          <w:p>
            <w:pPr>
              <w:pStyle w:val="Compact"/>
            </w:pPr>
            <w:r>
              <w:t xml:space="preserve">Debt </w:t>
            </w:r>
            <w:r>
              <w:rPr>
                <w:rFonts w:hint="eastAsia"/>
              </w:rPr>
              <w:t xml:space="preserve">负债</w:t>
            </w:r>
          </w:p>
        </w:tc>
        <w:tc>
          <w:tcPr/>
          <w:p>
            <w:pPr>
              <w:pStyle w:val="Compact"/>
            </w:pPr>
            <w:r>
              <w:t xml:space="preserve">1.482e+08</w:t>
            </w:r>
          </w:p>
        </w:tc>
        <w:tc>
          <w:tcPr/>
          <w:p>
            <w:pPr>
              <w:pStyle w:val="Compact"/>
            </w:pPr>
            <w:r>
              <w:t xml:space="preserve">Yahoo info.totalDebt (latest filing) 2026-10-13T16:22</w:t>
            </w:r>
          </w:p>
        </w:tc>
      </w:tr>
      <w:tr>
        <w:tc>
          <w:tcPr/>
          <w:p>
            <w:pPr>
              <w:pStyle w:val="Compact"/>
            </w:pPr>
            <w:r>
              <w:t xml:space="preserve">Revenue TTM </w:t>
            </w:r>
            <w:r>
              <w:rPr>
                <w:rFonts w:hint="eastAsia"/>
              </w:rPr>
              <w:t xml:space="preserve">收入</w:t>
            </w:r>
          </w:p>
        </w:tc>
        <w:tc>
          <w:tcPr/>
          <w:p>
            <w:pPr>
              <w:pStyle w:val="Compact"/>
            </w:pPr>
            <w:r>
              <w:t xml:space="preserve">5.689e+08</w:t>
            </w:r>
          </w:p>
        </w:tc>
        <w:tc>
          <w:tcPr/>
          <w:p>
            <w:pPr>
              <w:pStyle w:val="Compact"/>
            </w:pPr>
            <w:r>
              <w:t xml:space="preserve">Yahoo info.totalRevenue (TTM, USD) 2026-10-13T16:22</w:t>
            </w:r>
          </w:p>
        </w:tc>
      </w:tr>
      <w:tr>
        <w:tc>
          <w:tcPr/>
          <w:p>
            <w:pPr>
              <w:pStyle w:val="Compact"/>
            </w:pPr>
            <w:r>
              <w:t xml:space="preserve">FCF TTM </w:t>
            </w:r>
            <w:r>
              <w:rPr>
                <w:rFonts w:hint="eastAsia"/>
              </w:rPr>
              <w:t xml:space="preserve">自由现金流</w:t>
            </w:r>
          </w:p>
        </w:tc>
        <w:tc>
          <w:tcPr/>
          <w:p>
            <w:pPr>
              <w:pStyle w:val="Compact"/>
            </w:pPr>
            <w:r>
              <w:t xml:space="preserve">6.53e+05</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3.94</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0.0522</w:t>
            </w:r>
          </w:p>
        </w:tc>
        <w:tc>
          <w:tcPr/>
          <w:p>
            <w:pPr>
              <w:pStyle w:val="Compact"/>
            </w:pPr>
            <w:r>
              <w:t xml:space="preserve">FRED DGS10 2026-10-08</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0.5782</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0.2988</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0.2988</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0.001148</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0.15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MXL_model_v20261013-1622.xlsx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data/snapshots/20261013-1622</w:t>
      </w:r>
      <w:r>
        <w:t xml:space="preserve"> </w:t>
      </w:r>
      <w:r>
        <w:t xml:space="preserve">(immutable) | Fetched 2026-10-13 16:22 SGT | Generated 2026-10-13 16:23 SGT</w:t>
      </w:r>
    </w:p>
    <w:p>
      <w:pPr>
        <w:pStyle w:val="Compact"/>
        <w:numPr>
          <w:ilvl w:val="0"/>
          <w:numId w:val="1007"/>
        </w:numPr>
      </w:pPr>
      <w:r>
        <w:t xml:space="preserve">Version: v20261013-1622.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v20261013-1622: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2026-10-23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MXL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MXL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MXL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MXL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MXL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1b3147ae7570a97b7a75b376ffd76ebdbab64d9"/>
    <w:p>
      <w:pPr>
        <w:pStyle w:val="Heading1"/>
      </w:pPr>
      <w:r>
        <w:t xml:space="preserve">MXL MaxLinear, Inc. — Equity Deep Dive (Professional English) v20261013-1622</w:t>
      </w:r>
    </w:p>
    <w:p>
      <w:pPr>
        <w:pStyle w:val="BlockText"/>
      </w:pPr>
      <w:r>
        <w:t xml:space="preserve">Data as of 2026-10-13 16:22 SGT | Price $88.99 | Mkt cap 8.1 bn USD | Reporting currency USD | Not investment advice.</w:t>
      </w:r>
    </w:p>
    <w:bookmarkStart w:id="39" w:name="investment-thesis-hypothesis"/>
    <w:p>
      <w:pPr>
        <w:pStyle w:val="Heading2"/>
      </w:pPr>
      <w:r>
        <w:t xml:space="preserve">1. Investment thesis (HYPOTHESIS)</w:t>
      </w:r>
    </w:p>
    <w:p>
      <w:pPr>
        <w:pStyle w:val="FirstParagraph"/>
      </w:pPr>
      <w:r>
        <w:t xml:space="preserve">MaxLinear is a small-cap recovery + option story: broadband cycle recovery plus potential AI data-center entry via Keystone PAM4 DSP and Panther storage accelerators; margin and execution risks are high.</w:t>
      </w:r>
    </w:p>
    <w:p>
      <w:pPr>
        <w:pStyle w:val="Compact"/>
        <w:numPr>
          <w:ilvl w:val="0"/>
          <w:numId w:val="1009"/>
        </w:numPr>
      </w:pPr>
      <w:r>
        <w:rPr>
          <w:b/>
          <w:bCs/>
        </w:rPr>
        <w:t xml:space="preserve">Bull drivers</w:t>
      </w:r>
      <w:r>
        <w:t xml:space="preserve">: Keystone volume ramp at a top module maker; broadband </w:t>
      </w:r>
      <w:r>
        <w:rPr>
          <w:rFonts w:hint="eastAsia"/>
        </w:rPr>
        <w:t xml:space="preserve">upcycle｜Keystone在头部模块厂放量；宽带复苏</w:t>
      </w:r>
    </w:p>
    <w:p>
      <w:pPr>
        <w:pStyle w:val="Compact"/>
        <w:numPr>
          <w:ilvl w:val="0"/>
          <w:numId w:val="1009"/>
        </w:numPr>
      </w:pPr>
      <w:r>
        <w:rPr>
          <w:b/>
          <w:bCs/>
        </w:rPr>
        <w:t xml:space="preserve">Bear drivers</w:t>
      </w:r>
      <w:r>
        <w:t xml:space="preserve">: Design wins don’t convert; legal overhang (Silicon Motion merger </w:t>
      </w:r>
      <w:r>
        <w:rPr>
          <w:rFonts w:hint="eastAsia"/>
        </w:rPr>
        <w:t xml:space="preserve">dispute)｜订单不转化；与慧荣并购纠纷诉讼</w:t>
      </w:r>
    </w:p>
    <w:p>
      <w:pPr>
        <w:pStyle w:val="Compact"/>
        <w:numPr>
          <w:ilvl w:val="0"/>
          <w:numId w:val="1009"/>
        </w:numPr>
      </w:pPr>
      <w:r>
        <w:rPr>
          <w:b/>
          <w:bCs/>
        </w:rPr>
        <w:t xml:space="preserve">Falsifiers</w:t>
      </w:r>
      <w:r>
        <w:t xml:space="preserve">: Infrastructure revenue flat; continued operating </w:t>
      </w:r>
      <w:r>
        <w:rPr>
          <w:rFonts w:hint="eastAsia"/>
        </w:rPr>
        <w:t xml:space="preserve">losses｜基础设施收入持平；持续经营亏损</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Broadband/connectivity/optical DSP </w:t>
      </w:r>
      <w:r>
        <w:rPr>
          <w:rFonts w:hint="eastAsia"/>
        </w:rPr>
        <w:t xml:space="preserve">宽带/连接/光DSP</w:t>
      </w:r>
      <w:r>
        <w:t xml:space="preserve"> | Segments: Broadband </w:t>
      </w:r>
      <w:r>
        <w:rPr>
          <w:rFonts w:hint="eastAsia"/>
        </w:rPr>
        <w:t xml:space="preserve">宽带;</w:t>
      </w:r>
      <w:r>
        <w:t xml:space="preserve"> Connectivity </w:t>
      </w:r>
      <w:r>
        <w:rPr>
          <w:rFonts w:hint="eastAsia"/>
        </w:rPr>
        <w:t xml:space="preserve">连接;</w:t>
      </w:r>
      <w:r>
        <w:t xml:space="preserve"> Infrastructure (Keystone PAM4 DSP, storage accel.) </w:t>
      </w:r>
      <w:r>
        <w:rPr>
          <w:rFonts w:hint="eastAsia"/>
        </w:rPr>
        <w:t xml:space="preserve">基础设施</w:t>
      </w:r>
    </w:p>
    <w:p>
      <w:pPr>
        <w:pStyle w:val="Compact"/>
        <w:numPr>
          <w:ilvl w:val="0"/>
          <w:numId w:val="1010"/>
        </w:numPr>
      </w:pPr>
      <w:r>
        <w:t xml:space="preserve">Business description (DATA): MaxLinear, Inc. provides communications systems-on-chip solutions in the United States, Asia, Europe, and internationally. Its products integrate various portions of a high-speed communication system, including radio frequency, high-performance analog, mixed-signal, digital signal processing, security engines, data compression and networking layers, and power management. Its products are used in various electronic devices, such as radio transceivers and modems for 4G/5G base-station and backhaul infrastructure; optical transceivers; wi-fi and wireline routers for home networking; broadband modems compliant with data over cable service interface specifications, passive optical fiber standards, and digital subscriber line, as well as power management and interface products. It serves electronics distributors, module makers, original equipment manufacturers, and original design manufacturer</w:t>
      </w:r>
    </w:p>
    <w:p>
      <w:pPr>
        <w:pStyle w:val="Compact"/>
        <w:numPr>
          <w:ilvl w:val="0"/>
          <w:numId w:val="1010"/>
        </w:numPr>
      </w:pPr>
      <w:r>
        <w:t xml:space="preserve">Customers: Cable/fiber gateway OEMs, data-center optical module makers, storage </w:t>
      </w:r>
      <w:r>
        <w:rPr>
          <w:rFonts w:hint="eastAsia"/>
        </w:rPr>
        <w:t xml:space="preserve">OEMs｜网关厂、光模块厂、存储厂</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TSMC/GlobalFoundries/UMC </w:t>
      </w:r>
      <w:r>
        <w:rPr>
          <w:rFonts w:hint="eastAsia"/>
        </w:rPr>
        <w:t xml:space="preserve">wafers｜晶圆代工</w:t>
      </w:r>
    </w:p>
    <w:p>
      <w:pPr>
        <w:pStyle w:val="Compact"/>
        <w:numPr>
          <w:ilvl w:val="0"/>
          <w:numId w:val="1011"/>
        </w:numPr>
      </w:pPr>
      <w:r>
        <w:t xml:space="preserve">Competitors: Broadcom, Marvell, Realtek, </w:t>
      </w:r>
      <w:r>
        <w:rPr>
          <w:rFonts w:hint="eastAsia"/>
        </w:rPr>
        <w:t xml:space="preserve">Credo｜博通、Marvell、瑞昱、Credo</w:t>
      </w:r>
    </w:p>
    <w:p>
      <w:pPr>
        <w:pStyle w:val="Compact"/>
        <w:numPr>
          <w:ilvl w:val="0"/>
          <w:numId w:val="1011"/>
        </w:numPr>
      </w:pPr>
      <w:r>
        <w:t xml:space="preserve">Bottlenecks/regulation: Keystone DSP qualification at </w:t>
      </w:r>
      <w:r>
        <w:rPr>
          <w:rFonts w:hint="eastAsia"/>
        </w:rPr>
        <w:t xml:space="preserve">hyperscalers｜Keystone</w:t>
      </w:r>
      <w:r>
        <w:t xml:space="preserve"> </w:t>
      </w:r>
      <w:r>
        <w:rPr>
          <w:rFonts w:hint="eastAsia"/>
        </w:rPr>
        <w:t xml:space="preserve">DSP在云厂认证</w:t>
      </w:r>
    </w:p>
    <w:p>
      <w:pPr>
        <w:pStyle w:val="Compact"/>
        <w:numPr>
          <w:ilvl w:val="0"/>
          <w:numId w:val="1011"/>
        </w:numPr>
      </w:pPr>
      <w:r>
        <w:t xml:space="preserve">KPIs: Infrastructure revenue, GM%, op margin, design </w:t>
      </w:r>
      <w:r>
        <w:rPr>
          <w:rFonts w:hint="eastAsia"/>
        </w:rPr>
        <w:t xml:space="preserve">wins｜基础设施收入、毛利率、营业利润率、设计订单</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0.2 bn USD</w:t>
            </w:r>
          </w:p>
        </w:tc>
        <w:tc>
          <w:tcPr/>
          <w:p>
            <w:pPr>
              <w:pStyle w:val="Compact"/>
            </w:pPr>
            <w:r>
              <w:t xml:space="preserve">97.7 mn USD</w:t>
            </w:r>
          </w:p>
        </w:tc>
        <w:tc>
          <w:tcPr/>
          <w:p>
            <w:pPr>
              <w:pStyle w:val="Compact"/>
            </w:pPr>
            <w:r>
              <w:t xml:space="preserve">-4.1 mn USD</w:t>
            </w:r>
          </w:p>
        </w:tc>
        <w:tc>
          <w:tcPr/>
          <w:p>
            <w:pPr>
              <w:pStyle w:val="Compact"/>
            </w:pPr>
            <w:r>
              <w:t xml:space="preserve">1.8 mn USD</w:t>
            </w:r>
          </w:p>
        </w:tc>
        <w:tc>
          <w:tcPr/>
          <w:p>
            <w:pPr>
              <w:pStyle w:val="Compact"/>
            </w:pPr>
            <w:r>
              <w:t xml:space="preserve">1.7 mn USD</w:t>
            </w:r>
          </w:p>
        </w:tc>
        <w:tc>
          <w:tcPr/>
          <w:p>
            <w:pPr>
              <w:pStyle w:val="Compact"/>
            </w:pPr>
            <w:r>
              <w:t xml:space="preserve">-2.4%</w:t>
            </w:r>
          </w:p>
        </w:tc>
      </w:tr>
      <w:tr>
        <w:tc>
          <w:tcPr/>
          <w:p>
            <w:pPr>
              <w:pStyle w:val="Compact"/>
            </w:pPr>
            <w:r>
              <w:t xml:space="preserve">2026-03-31</w:t>
            </w:r>
          </w:p>
        </w:tc>
        <w:tc>
          <w:tcPr/>
          <w:p>
            <w:pPr>
              <w:pStyle w:val="Compact"/>
            </w:pPr>
            <w:r>
              <w:t xml:space="preserve">0.1 bn USD</w:t>
            </w:r>
          </w:p>
        </w:tc>
        <w:tc>
          <w:tcPr/>
          <w:p>
            <w:pPr>
              <w:pStyle w:val="Compact"/>
            </w:pPr>
            <w:r>
              <w:t xml:space="preserve">78.9 mn USD</w:t>
            </w:r>
          </w:p>
        </w:tc>
        <w:tc>
          <w:tcPr/>
          <w:p>
            <w:pPr>
              <w:pStyle w:val="Compact"/>
            </w:pPr>
            <w:r>
              <w:t xml:space="preserve">-16.7 mn USD</w:t>
            </w:r>
          </w:p>
        </w:tc>
        <w:tc>
          <w:tcPr/>
          <w:p>
            <w:pPr>
              <w:pStyle w:val="Compact"/>
            </w:pPr>
            <w:r>
              <w:t xml:space="preserve">-45.1 mn USD</w:t>
            </w:r>
          </w:p>
        </w:tc>
        <w:tc>
          <w:tcPr/>
          <w:p>
            <w:pPr>
              <w:pStyle w:val="Compact"/>
            </w:pPr>
            <w:r>
              <w:t xml:space="preserve">-11.1 mn USD</w:t>
            </w:r>
          </w:p>
        </w:tc>
        <w:tc>
          <w:tcPr/>
          <w:p>
            <w:pPr>
              <w:pStyle w:val="Compact"/>
            </w:pPr>
            <w:r>
              <w:t xml:space="preserve">-12.2%</w:t>
            </w:r>
          </w:p>
        </w:tc>
      </w:tr>
      <w:tr>
        <w:tc>
          <w:tcPr/>
          <w:p>
            <w:pPr>
              <w:pStyle w:val="Compact"/>
            </w:pPr>
            <w:r>
              <w:t xml:space="preserve">2025-12-31</w:t>
            </w:r>
          </w:p>
        </w:tc>
        <w:tc>
          <w:tcPr/>
          <w:p>
            <w:pPr>
              <w:pStyle w:val="Compact"/>
            </w:pPr>
            <w:r>
              <w:t xml:space="preserve">0.1 bn USD</w:t>
            </w:r>
          </w:p>
        </w:tc>
        <w:tc>
          <w:tcPr/>
          <w:p>
            <w:pPr>
              <w:pStyle w:val="Compact"/>
            </w:pPr>
            <w:r>
              <w:t xml:space="preserve">78.6 mn USD</w:t>
            </w:r>
          </w:p>
        </w:tc>
        <w:tc>
          <w:tcPr/>
          <w:p>
            <w:pPr>
              <w:pStyle w:val="Compact"/>
            </w:pPr>
            <w:r>
              <w:t xml:space="preserve">-15.1 mn USD</w:t>
            </w:r>
          </w:p>
        </w:tc>
        <w:tc>
          <w:tcPr/>
          <w:p>
            <w:pPr>
              <w:pStyle w:val="Compact"/>
            </w:pPr>
            <w:r>
              <w:t xml:space="preserve">-14.9 mn USD</w:t>
            </w:r>
          </w:p>
        </w:tc>
        <w:tc>
          <w:tcPr/>
          <w:p>
            <w:pPr>
              <w:pStyle w:val="Compact"/>
            </w:pPr>
            <w:r>
              <w:t xml:space="preserve">6.7 mn USD</w:t>
            </w:r>
          </w:p>
        </w:tc>
        <w:tc>
          <w:tcPr/>
          <w:p>
            <w:pPr>
              <w:pStyle w:val="Compact"/>
            </w:pPr>
            <w:r>
              <w:t xml:space="preserve">-11.1%</w:t>
            </w:r>
          </w:p>
        </w:tc>
      </w:tr>
      <w:tr>
        <w:tc>
          <w:tcPr/>
          <w:p>
            <w:pPr>
              <w:pStyle w:val="Compact"/>
            </w:pPr>
            <w:r>
              <w:t xml:space="preserve">2025-09-30</w:t>
            </w:r>
          </w:p>
        </w:tc>
        <w:tc>
          <w:tcPr/>
          <w:p>
            <w:pPr>
              <w:pStyle w:val="Compact"/>
            </w:pPr>
            <w:r>
              <w:t xml:space="preserve">0.1 bn USD</w:t>
            </w:r>
          </w:p>
        </w:tc>
        <w:tc>
          <w:tcPr/>
          <w:p>
            <w:pPr>
              <w:pStyle w:val="Compact"/>
            </w:pPr>
            <w:r>
              <w:t xml:space="preserve">71.9 mn USD</w:t>
            </w:r>
          </w:p>
        </w:tc>
        <w:tc>
          <w:tcPr/>
          <w:p>
            <w:pPr>
              <w:pStyle w:val="Compact"/>
            </w:pPr>
            <w:r>
              <w:t xml:space="preserve">-30.0 mn USD</w:t>
            </w:r>
          </w:p>
        </w:tc>
        <w:tc>
          <w:tcPr/>
          <w:p>
            <w:pPr>
              <w:pStyle w:val="Compact"/>
            </w:pPr>
            <w:r>
              <w:t xml:space="preserve">-45.5 mn USD</w:t>
            </w:r>
          </w:p>
        </w:tc>
        <w:tc>
          <w:tcPr/>
          <w:p>
            <w:pPr>
              <w:pStyle w:val="Compact"/>
            </w:pPr>
            <w:r>
              <w:t xml:space="preserve">3.4 mn USD</w:t>
            </w:r>
          </w:p>
        </w:tc>
        <w:tc>
          <w:tcPr/>
          <w:p>
            <w:pPr>
              <w:pStyle w:val="Compact"/>
            </w:pPr>
            <w:r>
              <w:t xml:space="preserve">-23.7%</w:t>
            </w:r>
          </w:p>
        </w:tc>
      </w:tr>
      <w:tr>
        <w:tc>
          <w:tcPr/>
          <w:p>
            <w:pPr>
              <w:pStyle w:val="Compact"/>
            </w:pPr>
            <w:r>
              <w:t xml:space="preserve">2025-06-30</w:t>
            </w:r>
          </w:p>
        </w:tc>
        <w:tc>
          <w:tcPr/>
          <w:p>
            <w:pPr>
              <w:pStyle w:val="Compact"/>
            </w:pPr>
            <w:r>
              <w:t xml:space="preserve">0.1 bn USD</w:t>
            </w:r>
          </w:p>
        </w:tc>
        <w:tc>
          <w:tcPr/>
          <w:p>
            <w:pPr>
              <w:pStyle w:val="Compact"/>
            </w:pPr>
            <w:r>
              <w:t xml:space="preserve">61.5 mn USD</w:t>
            </w:r>
          </w:p>
        </w:tc>
        <w:tc>
          <w:tcPr/>
          <w:p>
            <w:pPr>
              <w:pStyle w:val="Compact"/>
            </w:pPr>
            <w:r>
              <w:t xml:space="preserve">-19.0 mn USD</w:t>
            </w:r>
          </w:p>
        </w:tc>
        <w:tc>
          <w:tcPr/>
          <w:p>
            <w:pPr>
              <w:pStyle w:val="Compact"/>
            </w:pPr>
            <w:r>
              <w:t xml:space="preserve">-26.6 mn USD</w:t>
            </w:r>
          </w:p>
        </w:tc>
        <w:tc>
          <w:tcPr/>
          <w:p>
            <w:pPr>
              <w:pStyle w:val="Compact"/>
            </w:pPr>
            <w:r>
              <w:t xml:space="preserve">3.1 mn USD</w:t>
            </w:r>
          </w:p>
        </w:tc>
        <w:tc>
          <w:tcPr/>
          <w:p>
            <w:pPr>
              <w:pStyle w:val="Compact"/>
            </w:pPr>
            <w:r>
              <w:t xml:space="preserve">-17.5%</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64.8 mn USD; debt 0.1 bn USD; TTM FCF 0.7 mn USD (FCF margin 0.1%).</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0.14</w:t>
            </w:r>
          </w:p>
        </w:tc>
        <w:tc>
          <w:tcPr/>
          <w:p>
            <w:pPr>
              <w:pStyle w:val="Compact"/>
            </w:pPr>
            <w:r>
              <w:t xml:space="preserve">0.1191</w:t>
            </w:r>
          </w:p>
        </w:tc>
        <w:tc>
          <w:tcPr/>
          <w:p>
            <w:pPr>
              <w:pStyle w:val="Compact"/>
            </w:pPr>
            <w:r>
              <w:t xml:space="preserve">0.17549999</w:t>
            </w:r>
          </w:p>
        </w:tc>
      </w:tr>
      <w:tr>
        <w:tc>
          <w:tcPr/>
          <w:p>
            <w:pPr>
              <w:pStyle w:val="Compact"/>
            </w:pPr>
            <w:r>
              <w:t xml:space="preserve">2025-12-31</w:t>
            </w:r>
          </w:p>
        </w:tc>
        <w:tc>
          <w:tcPr/>
          <w:p>
            <w:pPr>
              <w:pStyle w:val="Compact"/>
            </w:pPr>
            <w:r>
              <w:t xml:space="preserve">0.19</w:t>
            </w:r>
          </w:p>
        </w:tc>
        <w:tc>
          <w:tcPr/>
          <w:p>
            <w:pPr>
              <w:pStyle w:val="Compact"/>
            </w:pPr>
            <w:r>
              <w:t xml:space="preserve">0.17875</w:t>
            </w:r>
          </w:p>
        </w:tc>
        <w:tc>
          <w:tcPr/>
          <w:p>
            <w:pPr>
              <w:pStyle w:val="Compact"/>
            </w:pPr>
            <w:r>
              <w:t xml:space="preserve">0.0629</w:t>
            </w:r>
          </w:p>
        </w:tc>
      </w:tr>
      <w:tr>
        <w:tc>
          <w:tcPr/>
          <w:p>
            <w:pPr>
              <w:pStyle w:val="Compact"/>
            </w:pPr>
            <w:r>
              <w:t xml:space="preserve">2026-03-31</w:t>
            </w:r>
          </w:p>
        </w:tc>
        <w:tc>
          <w:tcPr/>
          <w:p>
            <w:pPr>
              <w:pStyle w:val="Compact"/>
            </w:pPr>
            <w:r>
              <w:t xml:space="preserve">0.22</w:t>
            </w:r>
          </w:p>
        </w:tc>
        <w:tc>
          <w:tcPr/>
          <w:p>
            <w:pPr>
              <w:pStyle w:val="Compact"/>
            </w:pPr>
            <w:r>
              <w:t xml:space="preserve">0.17523</w:t>
            </w:r>
          </w:p>
        </w:tc>
        <w:tc>
          <w:tcPr/>
          <w:p>
            <w:pPr>
              <w:pStyle w:val="Compact"/>
            </w:pPr>
            <w:r>
              <w:t xml:space="preserve">0.2555</w:t>
            </w:r>
          </w:p>
        </w:tc>
      </w:tr>
      <w:tr>
        <w:tc>
          <w:tcPr/>
          <w:p>
            <w:pPr>
              <w:pStyle w:val="Compact"/>
            </w:pPr>
            <w:r>
              <w:t xml:space="preserve">2026-06-30</w:t>
            </w:r>
          </w:p>
        </w:tc>
        <w:tc>
          <w:tcPr/>
          <w:p>
            <w:pPr>
              <w:pStyle w:val="Compact"/>
            </w:pPr>
            <w:r>
              <w:t xml:space="preserve">0.35</w:t>
            </w:r>
          </w:p>
        </w:tc>
        <w:tc>
          <w:tcPr/>
          <w:p>
            <w:pPr>
              <w:pStyle w:val="Compact"/>
            </w:pPr>
            <w:r>
              <w:t xml:space="preserve">0.32952</w:t>
            </w:r>
          </w:p>
        </w:tc>
        <w:tc>
          <w:tcPr/>
          <w:p>
            <w:pPr>
              <w:pStyle w:val="Compact"/>
            </w:pPr>
            <w:r>
              <w:t xml:space="preserve">0.0622</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2026-10-23</w:t>
      </w:r>
      <w:r>
        <w:t xml:space="preserve">; current-quarter EPS consensus 0.55778 (9 analysts); revenue consensus 0.2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$3.13</w:t>
            </w:r>
          </w:p>
        </w:tc>
        <w:tc>
          <w:tcPr/>
          <w:p>
            <w:pPr>
              <w:pStyle w:val="Compact"/>
            </w:pPr>
            <w:r>
              <w:t xml:space="preserve">-96.5%</w:t>
            </w:r>
          </w:p>
        </w:tc>
      </w:tr>
      <w:tr>
        <w:tc>
          <w:tcPr/>
          <w:p>
            <w:pPr>
              <w:pStyle w:val="Compact"/>
            </w:pPr>
            <w:r>
              <w:t xml:space="preserve">2Q</w:t>
            </w:r>
          </w:p>
        </w:tc>
        <w:tc>
          <w:tcPr/>
          <w:p>
            <w:pPr>
              <w:pStyle w:val="Compact"/>
            </w:pPr>
            <w:r>
              <w:t xml:space="preserve">Base</w:t>
            </w:r>
          </w:p>
        </w:tc>
        <w:tc>
          <w:tcPr/>
          <w:p>
            <w:pPr>
              <w:pStyle w:val="Compact"/>
            </w:pPr>
            <w:r>
              <w:t xml:space="preserve">$9.13</w:t>
            </w:r>
          </w:p>
        </w:tc>
        <w:tc>
          <w:tcPr/>
          <w:p>
            <w:pPr>
              <w:pStyle w:val="Compact"/>
            </w:pPr>
            <w:r>
              <w:t xml:space="preserve">-89.7%</w:t>
            </w:r>
          </w:p>
        </w:tc>
      </w:tr>
      <w:tr>
        <w:tc>
          <w:tcPr/>
          <w:p>
            <w:pPr>
              <w:pStyle w:val="Compact"/>
            </w:pPr>
            <w:r>
              <w:t xml:space="preserve">2Q</w:t>
            </w:r>
          </w:p>
        </w:tc>
        <w:tc>
          <w:tcPr/>
          <w:p>
            <w:pPr>
              <w:pStyle w:val="Compact"/>
            </w:pPr>
            <w:r>
              <w:t xml:space="preserve">Bull</w:t>
            </w:r>
          </w:p>
        </w:tc>
        <w:tc>
          <w:tcPr/>
          <w:p>
            <w:pPr>
              <w:pStyle w:val="Compact"/>
            </w:pPr>
            <w:r>
              <w:t xml:space="preserve">$16.91</w:t>
            </w:r>
          </w:p>
        </w:tc>
        <w:tc>
          <w:tcPr/>
          <w:p>
            <w:pPr>
              <w:pStyle w:val="Compact"/>
            </w:pPr>
            <w:r>
              <w:t xml:space="preserve">-81.0%</w:t>
            </w:r>
          </w:p>
        </w:tc>
      </w:tr>
      <w:tr>
        <w:tc>
          <w:tcPr/>
          <w:p>
            <w:pPr>
              <w:pStyle w:val="Compact"/>
            </w:pPr>
            <w:r>
              <w:t xml:space="preserve">4Q</w:t>
            </w:r>
          </w:p>
        </w:tc>
        <w:tc>
          <w:tcPr/>
          <w:p>
            <w:pPr>
              <w:pStyle w:val="Compact"/>
            </w:pPr>
            <w:r>
              <w:t xml:space="preserve">Bear</w:t>
            </w:r>
          </w:p>
        </w:tc>
        <w:tc>
          <w:tcPr/>
          <w:p>
            <w:pPr>
              <w:pStyle w:val="Compact"/>
            </w:pPr>
            <w:r>
              <w:t xml:space="preserve">$4.49</w:t>
            </w:r>
          </w:p>
        </w:tc>
        <w:tc>
          <w:tcPr/>
          <w:p>
            <w:pPr>
              <w:pStyle w:val="Compact"/>
            </w:pPr>
            <w:r>
              <w:t xml:space="preserve">-94.9%</w:t>
            </w:r>
          </w:p>
        </w:tc>
      </w:tr>
      <w:tr>
        <w:tc>
          <w:tcPr/>
          <w:p>
            <w:pPr>
              <w:pStyle w:val="Compact"/>
            </w:pPr>
            <w:r>
              <w:t xml:space="preserve">4Q</w:t>
            </w:r>
          </w:p>
        </w:tc>
        <w:tc>
          <w:tcPr/>
          <w:p>
            <w:pPr>
              <w:pStyle w:val="Compact"/>
            </w:pPr>
            <w:r>
              <w:t xml:space="preserve">Base</w:t>
            </w:r>
          </w:p>
        </w:tc>
        <w:tc>
          <w:tcPr/>
          <w:p>
            <w:pPr>
              <w:pStyle w:val="Compact"/>
            </w:pPr>
            <w:r>
              <w:t xml:space="preserve">$13.37</w:t>
            </w:r>
          </w:p>
        </w:tc>
        <w:tc>
          <w:tcPr/>
          <w:p>
            <w:pPr>
              <w:pStyle w:val="Compact"/>
            </w:pPr>
            <w:r>
              <w:t xml:space="preserve">-85.0%</w:t>
            </w:r>
          </w:p>
        </w:tc>
      </w:tr>
      <w:tr>
        <w:tc>
          <w:tcPr/>
          <w:p>
            <w:pPr>
              <w:pStyle w:val="Compact"/>
            </w:pPr>
            <w:r>
              <w:t xml:space="preserve">4Q</w:t>
            </w:r>
          </w:p>
        </w:tc>
        <w:tc>
          <w:tcPr/>
          <w:p>
            <w:pPr>
              <w:pStyle w:val="Compact"/>
            </w:pPr>
            <w:r>
              <w:t xml:space="preserve">Bull</w:t>
            </w:r>
          </w:p>
        </w:tc>
        <w:tc>
          <w:tcPr/>
          <w:p>
            <w:pPr>
              <w:pStyle w:val="Compact"/>
            </w:pPr>
            <w:r>
              <w:t xml:space="preserve">$25.35</w:t>
            </w:r>
          </w:p>
        </w:tc>
        <w:tc>
          <w:tcPr/>
          <w:p>
            <w:pPr>
              <w:pStyle w:val="Compact"/>
            </w:pPr>
            <w:r>
              <w:t xml:space="preserve">-71.5%</w:t>
            </w:r>
          </w:p>
        </w:tc>
      </w:tr>
      <w:tr>
        <w:tc>
          <w:tcPr/>
          <w:p>
            <w:pPr>
              <w:pStyle w:val="Compact"/>
            </w:pPr>
            <w:r>
              <w:t xml:space="preserve">6Q</w:t>
            </w:r>
          </w:p>
        </w:tc>
        <w:tc>
          <w:tcPr/>
          <w:p>
            <w:pPr>
              <w:pStyle w:val="Compact"/>
            </w:pPr>
            <w:r>
              <w:t xml:space="preserve">Bear</w:t>
            </w:r>
          </w:p>
        </w:tc>
        <w:tc>
          <w:tcPr/>
          <w:p>
            <w:pPr>
              <w:pStyle w:val="Compact"/>
            </w:pPr>
            <w:r>
              <w:t xml:space="preserve">$5.86</w:t>
            </w:r>
          </w:p>
        </w:tc>
        <w:tc>
          <w:tcPr/>
          <w:p>
            <w:pPr>
              <w:pStyle w:val="Compact"/>
            </w:pPr>
            <w:r>
              <w:t xml:space="preserve">-93.4%</w:t>
            </w:r>
          </w:p>
        </w:tc>
      </w:tr>
      <w:tr>
        <w:tc>
          <w:tcPr/>
          <w:p>
            <w:pPr>
              <w:pStyle w:val="Compact"/>
            </w:pPr>
            <w:r>
              <w:t xml:space="preserve">6Q</w:t>
            </w:r>
          </w:p>
        </w:tc>
        <w:tc>
          <w:tcPr/>
          <w:p>
            <w:pPr>
              <w:pStyle w:val="Compact"/>
            </w:pPr>
            <w:r>
              <w:t xml:space="preserve">Base</w:t>
            </w:r>
          </w:p>
        </w:tc>
        <w:tc>
          <w:tcPr/>
          <w:p>
            <w:pPr>
              <w:pStyle w:val="Compact"/>
            </w:pPr>
            <w:r>
              <w:t xml:space="preserve">$18.15</w:t>
            </w:r>
          </w:p>
        </w:tc>
        <w:tc>
          <w:tcPr/>
          <w:p>
            <w:pPr>
              <w:pStyle w:val="Compact"/>
            </w:pPr>
            <w:r>
              <w:t xml:space="preserve">-79.6%</w:t>
            </w:r>
          </w:p>
        </w:tc>
      </w:tr>
      <w:tr>
        <w:tc>
          <w:tcPr/>
          <w:p>
            <w:pPr>
              <w:pStyle w:val="Compact"/>
            </w:pPr>
            <w:r>
              <w:t xml:space="preserve">6Q</w:t>
            </w:r>
          </w:p>
        </w:tc>
        <w:tc>
          <w:tcPr/>
          <w:p>
            <w:pPr>
              <w:pStyle w:val="Compact"/>
            </w:pPr>
            <w:r>
              <w:t xml:space="preserve">Bull</w:t>
            </w:r>
          </w:p>
        </w:tc>
        <w:tc>
          <w:tcPr/>
          <w:p>
            <w:pPr>
              <w:pStyle w:val="Compact"/>
            </w:pPr>
            <w:r>
              <w:t xml:space="preserve">$35.42</w:t>
            </w:r>
          </w:p>
        </w:tc>
        <w:tc>
          <w:tcPr/>
          <w:p>
            <w:pPr>
              <w:pStyle w:val="Compact"/>
            </w:pPr>
            <w:r>
              <w:t xml:space="preserve">-60.2%</w:t>
            </w:r>
          </w:p>
        </w:tc>
      </w:tr>
      <w:tr>
        <w:tc>
          <w:tcPr/>
          <w:p>
            <w:pPr>
              <w:pStyle w:val="Compact"/>
            </w:pPr>
            <w:r>
              <w:t xml:space="preserve">8Q</w:t>
            </w:r>
          </w:p>
        </w:tc>
        <w:tc>
          <w:tcPr/>
          <w:p>
            <w:pPr>
              <w:pStyle w:val="Compact"/>
            </w:pPr>
            <w:r>
              <w:t xml:space="preserve">Bear</w:t>
            </w:r>
          </w:p>
        </w:tc>
        <w:tc>
          <w:tcPr/>
          <w:p>
            <w:pPr>
              <w:pStyle w:val="Compact"/>
            </w:pPr>
            <w:r>
              <w:t xml:space="preserve">$7.23</w:t>
            </w:r>
          </w:p>
        </w:tc>
        <w:tc>
          <w:tcPr/>
          <w:p>
            <w:pPr>
              <w:pStyle w:val="Compact"/>
            </w:pPr>
            <w:r>
              <w:t xml:space="preserve">-91.9%</w:t>
            </w:r>
          </w:p>
        </w:tc>
      </w:tr>
      <w:tr>
        <w:tc>
          <w:tcPr/>
          <w:p>
            <w:pPr>
              <w:pStyle w:val="Compact"/>
            </w:pPr>
            <w:r>
              <w:t xml:space="preserve">8Q</w:t>
            </w:r>
          </w:p>
        </w:tc>
        <w:tc>
          <w:tcPr/>
          <w:p>
            <w:pPr>
              <w:pStyle w:val="Compact"/>
            </w:pPr>
            <w:r>
              <w:t xml:space="preserve">Base</w:t>
            </w:r>
          </w:p>
        </w:tc>
        <w:tc>
          <w:tcPr/>
          <w:p>
            <w:pPr>
              <w:pStyle w:val="Compact"/>
            </w:pPr>
            <w:r>
              <w:t xml:space="preserve">$23.53</w:t>
            </w:r>
          </w:p>
        </w:tc>
        <w:tc>
          <w:tcPr/>
          <w:p>
            <w:pPr>
              <w:pStyle w:val="Compact"/>
            </w:pPr>
            <w:r>
              <w:t xml:space="preserve">-73.6%</w:t>
            </w:r>
          </w:p>
        </w:tc>
      </w:tr>
      <w:tr>
        <w:tc>
          <w:tcPr/>
          <w:p>
            <w:pPr>
              <w:pStyle w:val="Compact"/>
            </w:pPr>
            <w:r>
              <w:t xml:space="preserve">8Q</w:t>
            </w:r>
          </w:p>
        </w:tc>
        <w:tc>
          <w:tcPr/>
          <w:p>
            <w:pPr>
              <w:pStyle w:val="Compact"/>
            </w:pPr>
            <w:r>
              <w:t xml:space="preserve">Bull</w:t>
            </w:r>
          </w:p>
        </w:tc>
        <w:tc>
          <w:tcPr/>
          <w:p>
            <w:pPr>
              <w:pStyle w:val="Compact"/>
            </w:pPr>
            <w:r>
              <w:t xml:space="preserve">$47.36</w:t>
            </w:r>
          </w:p>
        </w:tc>
        <w:tc>
          <w:tcPr/>
          <w:p>
            <w:pPr>
              <w:pStyle w:val="Compact"/>
            </w:pPr>
            <w:r>
              <w:t xml:space="preserve">-46.8%</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211.4x</w:t>
            </w:r>
          </w:p>
        </w:tc>
      </w:tr>
      <w:tr>
        <w:tc>
          <w:tcPr/>
          <w:p>
            <w:pPr>
              <w:pStyle w:val="Compact"/>
            </w:pPr>
            <w:r>
              <w:t xml:space="preserve">4Q</w:t>
            </w:r>
          </w:p>
        </w:tc>
        <w:tc>
          <w:tcPr/>
          <w:p>
            <w:pPr>
              <w:pStyle w:val="Compact"/>
            </w:pPr>
            <w:r>
              <w:t xml:space="preserve">140.0x</w:t>
            </w:r>
          </w:p>
        </w:tc>
      </w:tr>
      <w:tr>
        <w:tc>
          <w:tcPr/>
          <w:p>
            <w:pPr>
              <w:pStyle w:val="Compact"/>
            </w:pPr>
            <w:r>
              <w:t xml:space="preserve">6Q</w:t>
            </w:r>
          </w:p>
        </w:tc>
        <w:tc>
          <w:tcPr/>
          <w:p>
            <w:pPr>
              <w:pStyle w:val="Compact"/>
            </w:pPr>
            <w:r>
              <w:t xml:space="preserve">98.6x</w:t>
            </w:r>
          </w:p>
        </w:tc>
      </w:tr>
      <w:tr>
        <w:tc>
          <w:tcPr/>
          <w:p>
            <w:pPr>
              <w:pStyle w:val="Compact"/>
            </w:pPr>
            <w:r>
              <w:t xml:space="preserve">8Q</w:t>
            </w:r>
          </w:p>
        </w:tc>
        <w:tc>
          <w:tcPr/>
          <w:p>
            <w:pPr>
              <w:pStyle w:val="Compact"/>
            </w:pPr>
            <w:r>
              <w:t xml:space="preserve">72.3x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14.9%</w:t>
            </w:r>
          </w:p>
        </w:tc>
        <w:tc>
          <w:tcPr/>
          <w:p>
            <w:pPr>
              <w:pStyle w:val="Compact"/>
            </w:pPr>
            <w:r>
              <w:t xml:space="preserve">12.0%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$8.03</w:t>
            </w:r>
          </w:p>
        </w:tc>
        <w:tc>
          <w:tcPr/>
          <w:p>
            <w:pPr>
              <w:pStyle w:val="Compact"/>
            </w:pPr>
            <w:r>
              <w:t xml:space="preserve">-91.0%</w:t>
            </w:r>
          </w:p>
        </w:tc>
      </w:tr>
      <w:tr>
        <w:tc>
          <w:tcPr/>
          <w:p>
            <w:pPr>
              <w:pStyle w:val="Compact"/>
            </w:pPr>
            <w:r>
              <w:t xml:space="preserve">Base</w:t>
            </w:r>
          </w:p>
        </w:tc>
        <w:tc>
          <w:tcPr/>
          <w:p>
            <w:pPr>
              <w:pStyle w:val="Compact"/>
            </w:pPr>
            <w:r>
              <w:t xml:space="preserve">29.9%</w:t>
            </w:r>
          </w:p>
        </w:tc>
        <w:tc>
          <w:tcPr/>
          <w:p>
            <w:pPr>
              <w:pStyle w:val="Compact"/>
            </w:pPr>
            <w:r>
              <w:t xml:space="preserve">15.0%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$22.35</w:t>
            </w:r>
          </w:p>
        </w:tc>
        <w:tc>
          <w:tcPr/>
          <w:p>
            <w:pPr>
              <w:pStyle w:val="Compact"/>
            </w:pPr>
            <w:r>
              <w:t xml:space="preserve">-74.9%</w:t>
            </w:r>
          </w:p>
        </w:tc>
      </w:tr>
      <w:tr>
        <w:tc>
          <w:tcPr/>
          <w:p>
            <w:pPr>
              <w:pStyle w:val="Compact"/>
            </w:pPr>
            <w:r>
              <w:t xml:space="preserve">Bull</w:t>
            </w:r>
          </w:p>
        </w:tc>
        <w:tc>
          <w:tcPr/>
          <w:p>
            <w:pPr>
              <w:pStyle w:val="Compact"/>
            </w:pPr>
            <w:r>
              <w:t xml:space="preserve">38.8%</w:t>
            </w:r>
          </w:p>
        </w:tc>
        <w:tc>
          <w:tcPr/>
          <w:p>
            <w:pPr>
              <w:pStyle w:val="Compact"/>
            </w:pPr>
            <w:r>
              <w:t xml:space="preserve">17.2%</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$40.82</w:t>
            </w:r>
          </w:p>
        </w:tc>
        <w:tc>
          <w:tcPr/>
          <w:p>
            <w:pPr>
              <w:pStyle w:val="Compact"/>
            </w:pPr>
            <w:r>
              <w:t xml:space="preserve">-54.1%</w:t>
            </w:r>
          </w:p>
        </w:tc>
      </w:tr>
    </w:tbl>
    <w:p>
      <w:pPr>
        <w:pStyle w:val="BodyText"/>
      </w:pPr>
      <w:r>
        <w:t xml:space="preserve">Probability-weighted value</w:t>
      </w:r>
      <w:r>
        <w:t xml:space="preserve"> </w:t>
      </w:r>
      <w:r>
        <w:rPr>
          <w:b/>
          <w:bCs/>
        </w:rPr>
        <w:t xml:space="preserve">$23.39</w:t>
      </w:r>
      <w:r>
        <w:t xml:space="preserve"> </w:t>
      </w:r>
      <w:r>
        <w:t xml:space="preserve">(-73.7%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2.1 bn USD; terminal share 52.5%.</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69.0%</w:t>
      </w:r>
      <w:r>
        <w:t xml:space="preserve"> </w:t>
      </w:r>
      <w:r>
        <w:t xml:space="preserve">vs consensus FY+1 29.9%.</w:t>
      </w:r>
    </w:p>
    <w:p>
      <w:pPr>
        <w:pStyle w:val="Compact"/>
        <w:numPr>
          <w:ilvl w:val="0"/>
          <w:numId w:val="1013"/>
        </w:numPr>
      </w:pPr>
      <w:r>
        <w:t xml:space="preserve">WACC (CAPM) = rf 5.2% + β 1.60 × ERP 5.0% = 13.2%.</w:t>
      </w:r>
    </w:p>
    <w:p>
      <w:pPr>
        <w:pStyle w:val="Compact"/>
        <w:numPr>
          <w:ilvl w:val="0"/>
          <w:numId w:val="1013"/>
        </w:numPr>
      </w:pPr>
      <w:r>
        <w:t xml:space="preserve">SOTP segments: Broadband </w:t>
      </w:r>
      <w:r>
        <w:rPr>
          <w:rFonts w:hint="eastAsia"/>
        </w:rPr>
        <w:t xml:space="preserve">宽带;</w:t>
      </w:r>
      <w:r>
        <w:t xml:space="preserve"> Connectivity </w:t>
      </w:r>
      <w:r>
        <w:rPr>
          <w:rFonts w:hint="eastAsia"/>
        </w:rPr>
        <w:t xml:space="preserve">连接;</w:t>
      </w:r>
      <w:r>
        <w:t xml:space="preserve"> Infrastructure (Keystone PAM4 DSP, storage accel.) </w:t>
      </w:r>
      <w:r>
        <w:rPr>
          <w:rFonts w:hint="eastAsia"/>
        </w:rPr>
        <w:t xml:space="preserve">基础设施</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Design wins don’t convert; legal overhang (Silicon Motion merger </w:t>
      </w:r>
      <w:r>
        <w:rPr>
          <w:rFonts w:hint="eastAsia"/>
        </w:rPr>
        <w:t xml:space="preserve">dispute)｜订单不转化；与慧荣并购纠纷诉讼</w:t>
      </w:r>
      <w:r>
        <w:t xml:space="preserve"> | Falsifiers: Infrastructure revenue flat; continued operating </w:t>
      </w:r>
      <w:r>
        <w:rPr>
          <w:rFonts w:hint="eastAsia"/>
        </w:rPr>
        <w:t xml:space="preserve">losses｜基础设施收入持平；持续经营亏损</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MXL_model_v20261013-1622.xlsx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data/snapshots/20261013-1622</w:t>
      </w:r>
      <w:r>
        <w:t xml:space="preserve"> </w:t>
      </w:r>
      <w:r>
        <w:t xml:space="preserve">(immutable) | Fetched 2026-10-13 16:22 SGT | Generated 2026-10-13 16:23 SGT</w:t>
      </w:r>
      <w:r>
        <w:t xml:space="preserve"> </w:t>
      </w:r>
      <w:r>
        <w:t xml:space="preserve">- Version: v20261013-1622.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2026-10-13T08:25:09Z</dcterms:created>
  <dcterms:modified xsi:type="dcterms:W3CDTF">2026-10-13T08:25:09Z</dcterms:modified>
</cp:coreProperties>
</file>

<file path=docProps/custom.xml><?xml version="1.0" encoding="utf-8"?>
<Properties xmlns="http://schemas.openxmlformats.org/officeDocument/2006/custom-properties" xmlns:vt="http://schemas.openxmlformats.org/officeDocument/2006/docPropsVTypes"/>
</file>