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94c1259077b8590e4f70f558a122b772e62e8c"/>
    <w:p>
      <w:pPr>
        <w:pStyle w:val="Heading1"/>
      </w:pPr>
      <w:r>
        <w:t xml:space="preserve">NVDA NVIDIA Corporation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NVIDIA Corporation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$228.52；距</w:t>
      </w:r>
      <w:r>
        <w:t xml:space="preserve"> 2026-10-06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-5.4%。主题：AI</w:t>
      </w:r>
      <w:r>
        <w:t xml:space="preserve"> compute GPU </w:t>
      </w:r>
      <w:r>
        <w:rPr>
          <w:rFonts w:hint="eastAsia"/>
        </w:rPr>
        <w:t xml:space="preserve">AI算力。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41.3%，一致预期</w:t>
      </w:r>
      <w:r>
        <w:t xml:space="preserve"> </w:t>
      </w:r>
      <w:r>
        <w:rPr>
          <w:rFonts w:hint="eastAsia"/>
        </w:rPr>
        <w:t xml:space="preserve">68.2%；三情景价值</w:t>
      </w:r>
      <w:r>
        <w:t xml:space="preserve"> $126/$548/$1,308。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2026-11-18（TENTATIVE</w:t>
      </w:r>
      <w:r>
        <w:t xml:space="preserve"> </w:t>
      </w:r>
      <w:r>
        <w:rPr>
          <w:rFonts w:hint="eastAsia"/>
        </w:rPr>
        <w:t xml:space="preserve">直至公司确认）；盯：数据中心收入、毛利率、网络收入、云厂Capex、CoWoS分配。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AI compute GPU </w:t>
      </w:r>
      <w:r>
        <w:rPr>
          <w:rFonts w:hint="eastAsia"/>
        </w:rPr>
        <w:t xml:space="preserve">AI算力。持有者在乎的是：NVDA是AI资本开支的首要受益者，系统级(GPU+NVLink+网络+CUDA)护城河使其维持高毛利；核心争议在于云厂Capex持续性与ASIC替代速度。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41.3%，一致预期</w:t>
      </w:r>
      <w:r>
        <w:t xml:space="preserve"> </w:t>
      </w:r>
      <w:r>
        <w:rPr>
          <w:rFonts w:hint="eastAsia"/>
        </w:rPr>
        <w:t xml:space="preserve">68.2%——市场定价不比分析师更乐观。跑率/静态</w:t>
      </w:r>
      <w:r>
        <w:t xml:space="preserve"> P/E </w:t>
      </w:r>
      <w:r>
        <w:rPr>
          <w:rFonts w:hint="eastAsia"/>
        </w:rPr>
        <w:t xml:space="preserve">28.9×、前瞻</w:t>
      </w:r>
      <w:r>
        <w:t xml:space="preserve"> P/E </w:t>
      </w:r>
      <w:r>
        <w:rPr>
          <w:rFonts w:hint="eastAsia"/>
        </w:rPr>
        <w:t xml:space="preserve">14.4×（Yahoo）。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105.9%）→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75.0%）→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断点：CoWoS</w:t>
      </w:r>
      <w:r>
        <w:t xml:space="preserve"> capacity, HBM supply, data-center power, export controls </w:t>
      </w:r>
      <w:r>
        <w:rPr>
          <w:rFonts w:hint="eastAsia"/>
        </w:rPr>
        <w:t xml:space="preserve">(China)｜CoWoS产能、HBM供应、数据中心电力、出口管制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折现。NVDA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75.0%；收入同比</w:t>
      </w:r>
      <w:r>
        <w:t xml:space="preserve"> </w:t>
      </w:r>
      <w:r>
        <w:rPr>
          <w:rFonts w:hint="eastAsia"/>
        </w:rPr>
        <w:t xml:space="preserve">105.9%。新闻多数改变的是现金流预期，而非折现率。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竞争者：AMD</w:t>
      </w:r>
      <w:r>
        <w:t xml:space="preserve"> Instinct, custom ASICs (Broadcom/Marvell/Google TPU/Trainium), Intel, Chinese domestic </w:t>
      </w:r>
      <w:r>
        <w:rPr>
          <w:rFonts w:hint="eastAsia"/>
        </w:rPr>
        <w:t xml:space="preserve">GPUs｜AMD、定制ASIC(TPU/Trainium等)、英特尔、中国国产GPU。客户：Hyperscalers</w:t>
      </w:r>
      <w:r>
        <w:t xml:space="preserve"> (MSFT, META, GOOGL, AMZN, ORCL), neoclouds (CRWV), sovereigns, </w:t>
      </w:r>
      <w:r>
        <w:rPr>
          <w:rFonts w:hint="eastAsia"/>
        </w:rPr>
        <w:t xml:space="preserve">enterprises｜超大规模云厂、新云、主权AI、企业。若</w:t>
      </w:r>
      <w:r>
        <w:t xml:space="preserve"> NVDA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看多会错，如果：Capex</w:t>
      </w:r>
      <w:r>
        <w:t xml:space="preserve">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41.3%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68.2%；近几季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+3% / 2026-01 +5% / 2026-04 +6% / 2026-07 +6%。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买方押：Rubin</w:t>
      </w:r>
      <w:r>
        <w:t xml:space="preserve"> cycle on time, inference demand broadens to enterprise/sovereign, networking attach </w:t>
      </w:r>
      <w:r>
        <w:rPr>
          <w:rFonts w:hint="eastAsia"/>
        </w:rPr>
        <w:t xml:space="preserve">rises｜Rubin按期、推理需求扩散、网络附加率提升。卖方押：Capex</w:t>
      </w:r>
      <w:r>
        <w:t xml:space="preserve"> digestion in 2027, ASIC share gains, gross-margin pressure from HBM </w:t>
      </w:r>
      <w:r>
        <w:rPr>
          <w:rFonts w:hint="eastAsia"/>
        </w:rPr>
        <w:t xml:space="preserve">costs｜2027年Capex消化、ASIC份额提升、HBM成本压毛利。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年以来最大的三次回撤：2008-01→2008-11</w:t>
      </w:r>
      <w:r>
        <w:t xml:space="preserve"> </w:t>
      </w:r>
      <w:r>
        <w:rPr>
          <w:rFonts w:hint="eastAsia"/>
        </w:rPr>
        <w:t xml:space="preserve">-82%；2021-11→2022-10</w:t>
      </w:r>
      <w:r>
        <w:t xml:space="preserve"> </w:t>
      </w:r>
      <w:r>
        <w:rPr>
          <w:rFonts w:hint="eastAsia"/>
        </w:rPr>
        <w:t xml:space="preserve">-66%；2018-10→2018-12</w:t>
      </w:r>
      <w:r>
        <w:t xml:space="preserve"> </w:t>
      </w:r>
      <w:r>
        <w:rPr>
          <w:rFonts w:hint="eastAsia"/>
        </w:rPr>
        <w:t xml:space="preserve">-56%；中位数</w:t>
      </w:r>
      <w:r>
        <w:t xml:space="preserve"> </w:t>
      </w:r>
      <w:r>
        <w:rPr>
          <w:rFonts w:hint="eastAsia"/>
        </w:rPr>
        <w:t xml:space="preserve">-66%。当前距高点</w:t>
      </w:r>
      <w:r>
        <w:t xml:space="preserve"> </w:t>
      </w:r>
      <w:r>
        <w:rPr>
          <w:rFonts w:hint="eastAsia"/>
        </w:rPr>
        <w:t xml:space="preserve">-5.4%。毛利率区间：56.9%–75.0%（本快照内）。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NVDA是AI资本开支的首要受益者，系统级(GPU+NVLink+网络+CUDA)护城河使其维持高毛利；核心争议在于云厂Capex持续性与ASIC替代速度。（HYPOTHESIS）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$228.52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$548 </w:t>
      </w:r>
      <w:r>
        <w:rPr>
          <w:rFonts w:hint="eastAsia"/>
        </w:rPr>
        <w:t xml:space="preserve">-58.3%，安全边际取决于假设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2008-01→2008-11 </w:t>
      </w:r>
      <w:r>
        <w:rPr>
          <w:rFonts w:hint="eastAsia"/>
        </w:rPr>
        <w:t xml:space="preserve">-82%；2021-11→2022-10</w:t>
      </w:r>
      <w:r>
        <w:t xml:space="preserve"> </w:t>
      </w:r>
      <w:r>
        <w:rPr>
          <w:rFonts w:hint="eastAsia"/>
        </w:rPr>
        <w:t xml:space="preserve">-66%；2018-10→2018-12</w:t>
      </w:r>
      <w:r>
        <w:t xml:space="preserve"> -56%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$228.52 vs Base </w:t>
            </w:r>
            <w:r>
              <w:rPr>
                <w:rFonts w:hint="eastAsia"/>
              </w:rPr>
              <w:t xml:space="preserve">价值</w:t>
            </w:r>
            <w:r>
              <w:t xml:space="preserve"> $548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41.3% vs </w:t>
            </w:r>
            <w:r>
              <w:rPr>
                <w:rFonts w:hint="eastAsia"/>
              </w:rPr>
              <w:t xml:space="preserve">一致预期</w:t>
            </w:r>
            <w:r>
              <w:t xml:space="preserve"> 68.2%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72.4% → 75.0%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+6% → +6%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+105.9%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-5.4%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-66%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证据偏多方（加权</w:t>
      </w:r>
      <w:r>
        <w:t xml:space="preserve"> 12 : </w:t>
      </w:r>
      <w:r>
        <w:rPr>
          <w:rFonts w:hint="eastAsia"/>
        </w:rPr>
        <w:t xml:space="preserve">1）。这是对现有数据的机械称重，不是买卖结论；最该做的是盯住证伪清单。（我们的判断，可能出错）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41.3%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105.9%）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75.0%）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DC revenue, GM%, networking revenue, hyperscaler capex, CoWoS </w:t>
            </w:r>
            <w:r>
              <w:rPr>
                <w:rFonts w:hint="eastAsia"/>
              </w:rPr>
              <w:t xml:space="preserve">allocation｜数据中心收入、毛利率、网络收入、云厂Capex、CoWoS分配</w:t>
            </w:r>
          </w:p>
        </w:tc>
        <w:tc>
          <w:tcPr/>
          <w:p>
            <w:pPr>
              <w:pStyle w:val="Compact"/>
            </w:pPr>
            <w:r>
              <w:t xml:space="preserve">Top-4 hyperscaler capex guides down; DC revenue q/q growth &lt;5% two quarters; GM below </w:t>
            </w:r>
            <w:r>
              <w:rPr>
                <w:rFonts w:hint="eastAsia"/>
              </w:rPr>
              <w:t xml:space="preserve">mid-60s%｜四大云Capex下修；DC收入环比连续两季&lt;5%；毛利率跌破60%中段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41.3%、共识</w:t>
      </w:r>
      <w:r>
        <w:t xml:space="preserve"> </w:t>
      </w:r>
      <w:r>
        <w:rPr>
          <w:rFonts w:hint="eastAsia"/>
        </w:rPr>
        <w:t xml:space="preserve">68.2%。如果公司下季’超预期’但只超共识不超隐含，股价可能怎样？为什么？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75.0%，区间</w:t>
      </w:r>
      <w:r>
        <w:t xml:space="preserve"> </w:t>
      </w:r>
      <w:r>
        <w:rPr>
          <w:rFonts w:hint="eastAsia"/>
        </w:rPr>
        <w:t xml:space="preserve">56.9%–75.0%。用’第一性原理’说明利润率下降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-66%，当前</w:t>
      </w:r>
      <w:r>
        <w:t xml:space="preserve"> </w:t>
      </w:r>
      <w:r>
        <w:rPr>
          <w:rFonts w:hint="eastAsia"/>
        </w:rPr>
        <w:t xml:space="preserve">-5.4%。为什么’已经跌了很多’不能单独作为买入理由？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18-财报后填写"/>
    <w:p>
      <w:pPr>
        <w:pStyle w:val="Heading2"/>
      </w:pPr>
      <w:r>
        <w:rPr>
          <w:rFonts w:hint="eastAsia"/>
        </w:rPr>
        <w:t xml:space="preserve">八、事后推理复盘（2026-11-18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NVDA thinking-first edition. Price $228.52; -5.4% from 2026-10-06 high. Reverse DCF: price implies ~41.3% Y1 growth vs consensus 68.2%. Scenario values $126/$548/$1,308; WACC 13.2%. Base rates: largest drawdowns since 2008: 2008-01→2008-11 </w:t>
      </w:r>
      <w:r>
        <w:rPr>
          <w:rFonts w:hint="eastAsia"/>
        </w:rPr>
        <w:t xml:space="preserve">-82%；2021-11→2022-10</w:t>
      </w:r>
      <w:r>
        <w:t xml:space="preserve"> </w:t>
      </w:r>
      <w:r>
        <w:rPr>
          <w:rFonts w:hint="eastAsia"/>
        </w:rPr>
        <w:t xml:space="preserve">-66%；2018-10→2018-12</w:t>
      </w:r>
      <w:r>
        <w:t xml:space="preserve"> -56%. Evidence weighting 12:1 (bull:bear). Falsifiers: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2026-10-14T00:03:39Z</dcterms:created>
  <dcterms:modified xsi:type="dcterms:W3CDTF">2026-10-14T00:03:39Z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