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acd07d9c6576bfe35cfb66d96947e41ce5b1ba"/>
    <w:p>
      <w:pPr>
        <w:pStyle w:val="Heading1"/>
      </w:pPr>
      <w:r>
        <w:t xml:space="preserve">PLTR Palantir Technologies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$209.00｜市值</w:t>
      </w:r>
      <w:r>
        <w:t xml:space="preserve"> 502.2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AIP推动美国商业收入高速增长，’Rule</w:t>
      </w:r>
      <w:r>
        <w:t xml:space="preserve"> of </w:t>
      </w:r>
      <w:r>
        <w:rPr>
          <w:rFonts w:hint="eastAsia"/>
        </w:rPr>
        <w:t xml:space="preserve">40’极高；但估值隐含数十年高增长，股价对增速边际变化极度敏感。</w:t>
      </w:r>
    </w:p>
    <w:p>
      <w:pPr>
        <w:pStyle w:val="Compact"/>
        <w:numPr>
          <w:ilvl w:val="0"/>
          <w:numId w:val="1001"/>
        </w:numPr>
      </w:pPr>
      <w:r>
        <w:rPr>
          <w:rFonts w:hint="eastAsia"/>
          <w:b/>
          <w:bCs/>
        </w:rPr>
        <w:t xml:space="preserve">多头驱动</w:t>
      </w:r>
      <w:r>
        <w:t xml:space="preserve">: US commercial &gt;60% growth sustained; large gov programs (Maven, Army </w:t>
      </w:r>
      <w:r>
        <w:rPr>
          <w:rFonts w:hint="eastAsia"/>
        </w:rPr>
        <w:t xml:space="preserve">enterprise)｜商业高增长持续；大型政府项目</w:t>
      </w:r>
    </w:p>
    <w:p>
      <w:pPr>
        <w:pStyle w:val="Compact"/>
        <w:numPr>
          <w:ilvl w:val="0"/>
          <w:numId w:val="1001"/>
        </w:numPr>
      </w:pPr>
      <w:r>
        <w:rPr>
          <w:rFonts w:hint="eastAsia"/>
          <w:b/>
          <w:bCs/>
        </w:rPr>
        <w:t xml:space="preserve">空头驱动</w:t>
      </w:r>
      <w:r>
        <w:t xml:space="preserve">: Multiple compression; gov budget delays (shutdown/CR); </w:t>
      </w:r>
      <w:r>
        <w:rPr>
          <w:rFonts w:hint="eastAsia"/>
        </w:rPr>
        <w:t xml:space="preserve">competition｜估值压缩；政府预算延迟；竞争</w:t>
      </w:r>
    </w:p>
    <w:p>
      <w:pPr>
        <w:pStyle w:val="Compact"/>
        <w:numPr>
          <w:ilvl w:val="0"/>
          <w:numId w:val="1001"/>
        </w:numPr>
      </w:pPr>
      <w:r>
        <w:rPr>
          <w:rFonts w:hint="eastAsia"/>
          <w:b/>
          <w:bCs/>
        </w:rPr>
        <w:t xml:space="preserve">证伪条件</w:t>
      </w:r>
      <w:r>
        <w:rPr>
          <w:b/>
          <w:bCs/>
        </w:rPr>
        <w:t xml:space="preserve"> Falsifiers</w:t>
      </w:r>
      <w:r>
        <w:t xml:space="preserve">: US commercial growth decelerates sharply; net dollar retention falls; RPO </w:t>
      </w:r>
      <w:r>
        <w:rPr>
          <w:rFonts w:hint="eastAsia"/>
        </w:rPr>
        <w:t xml:space="preserve">stalls｜美国商业增速骤降；净留存率下降；RPO停滞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software platform </w:t>
      </w:r>
      <w:r>
        <w:rPr>
          <w:rFonts w:hint="eastAsia"/>
        </w:rPr>
        <w:t xml:space="preserve">AI软件平台</w:t>
      </w:r>
    </w:p>
    <w:p>
      <w:pPr>
        <w:pStyle w:val="Compact"/>
        <w:numPr>
          <w:ilvl w:val="0"/>
          <w:numId w:val="1002"/>
        </w:numPr>
      </w:pPr>
      <w:r>
        <w:rPr>
          <w:rFonts w:hint="eastAsia"/>
        </w:rPr>
        <w:t xml:space="preserve">业务分部</w:t>
      </w:r>
      <w:r>
        <w:t xml:space="preserve"> Segments: US Government </w:t>
      </w:r>
      <w:r>
        <w:rPr>
          <w:rFonts w:hint="eastAsia"/>
        </w:rPr>
        <w:t xml:space="preserve">美国政府；US</w:t>
      </w:r>
      <w:r>
        <w:t xml:space="preserve"> Commercial </w:t>
      </w:r>
      <w:r>
        <w:rPr>
          <w:rFonts w:hint="eastAsia"/>
        </w:rPr>
        <w:t xml:space="preserve">美国商业；International</w:t>
      </w:r>
      <w:r>
        <w:t xml:space="preserve"> </w:t>
      </w:r>
      <w:r>
        <w:rPr>
          <w:rFonts w:hint="eastAsia"/>
        </w:rPr>
        <w:t xml:space="preserve">国际</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02"/>
        </w:numPr>
      </w:pPr>
      <w:r>
        <w:rPr>
          <w:rFonts w:hint="eastAsia"/>
        </w:rPr>
        <w:t xml:space="preserve">主要客户:</w:t>
      </w:r>
      <w:r>
        <w:t xml:space="preserve"> US DoD/intel agencies, NATO allies, US enterprises </w:t>
      </w:r>
      <w:r>
        <w:rPr>
          <w:rFonts w:hint="eastAsia"/>
        </w:rPr>
        <w:t xml:space="preserve">(AIP)｜美国国防/情报、北约、企业(AIP)</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(AWS, Azure, Oracle), LLM </w:t>
      </w:r>
      <w:r>
        <w:rPr>
          <w:rFonts w:hint="eastAsia"/>
        </w:rPr>
        <w:t xml:space="preserve">providers｜云服务、大模型供应商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Snowflake, Databricks, hyperscaler AI stacks, defense primes, </w:t>
      </w:r>
      <w:r>
        <w:rPr>
          <w:rFonts w:hint="eastAsia"/>
        </w:rPr>
        <w:t xml:space="preserve">Anduril｜Snowflake、Databricks、云厂、国防承包商、Anduril</w:t>
      </w:r>
    </w:p>
    <w:p>
      <w:pPr>
        <w:pStyle w:val="Compact"/>
        <w:numPr>
          <w:ilvl w:val="0"/>
          <w:numId w:val="1003"/>
        </w:numPr>
      </w:pPr>
      <w:r>
        <w:rPr>
          <w:rFonts w:hint="eastAsia"/>
        </w:rPr>
        <w:t xml:space="preserve">瓶颈/监管:</w:t>
      </w:r>
      <w:r>
        <w:t xml:space="preserve"> Gov budget/appropriations, forward-deployed engineer </w:t>
      </w:r>
      <w:r>
        <w:rPr>
          <w:rFonts w:hint="eastAsia"/>
        </w:rPr>
        <w:t xml:space="preserve">scaling｜政府预算拨款、驻场工程师扩张</w:t>
      </w:r>
    </w:p>
    <w:p>
      <w:pPr>
        <w:pStyle w:val="Compact"/>
        <w:numPr>
          <w:ilvl w:val="0"/>
          <w:numId w:val="1003"/>
        </w:numPr>
      </w:pPr>
      <w:r>
        <w:rPr>
          <w:rFonts w:hint="eastAsia"/>
        </w:rPr>
        <w:t xml:space="preserve">关键KPI:</w:t>
      </w:r>
      <w:r>
        <w:t xml:space="preserve"> US commercial revenue, TCV, RPO, customer count, adj. op </w:t>
      </w:r>
      <w:r>
        <w:rPr>
          <w:rFonts w:hint="eastAsia"/>
        </w:rPr>
        <w:t xml:space="preserve">margin｜美国商业收入、TCV、RPO、客户数、调整后营业利润率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rPr>
          <w:rFonts w:hint="eastAsia"/>
        </w:rPr>
        <w:t xml:space="preserve">资产负债:</w:t>
      </w:r>
      <w:r>
        <w:t xml:space="preserve"> </w:t>
      </w:r>
      <w:r>
        <w:rPr>
          <w:rFonts w:hint="eastAsia"/>
        </w:rPr>
        <w:t xml:space="preserve">现金</w:t>
      </w:r>
      <w:r>
        <w:t xml:space="preserve"> 9.4 bn </w:t>
      </w:r>
      <w:r>
        <w:rPr>
          <w:rFonts w:hint="eastAsia"/>
        </w:rPr>
        <w:t xml:space="preserve">USD；总负债</w:t>
      </w:r>
      <w:r>
        <w:t xml:space="preserve"> 0.2 bn </w:t>
      </w:r>
      <w:r>
        <w:rPr>
          <w:rFonts w:hint="eastAsia"/>
        </w:rPr>
        <w:t xml:space="preserve">USD；净现金</w:t>
      </w:r>
      <w:r>
        <w:t xml:space="preserve"> 9.2 bn USD。TTM FCF 3.4 bn </w:t>
      </w:r>
      <w:r>
        <w:rPr>
          <w:rFonts w:hint="eastAsia"/>
        </w:rPr>
        <w:t xml:space="preserve">USD（FCF率</w:t>
      </w:r>
      <w:r>
        <w:t xml:space="preserve"> </w:t>
      </w:r>
      <w:r>
        <w:rPr>
          <w:rFonts w:hint="eastAsia"/>
        </w:rPr>
        <w:t xml:space="preserve">54.6%）。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0.41306（24位分析师）；收入一致预期</w:t>
      </w:r>
      <w:r>
        <w:t xml:space="preserve"> 2.2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$28.21</w:t>
            </w:r>
          </w:p>
        </w:tc>
        <w:tc>
          <w:tcPr/>
          <w:p>
            <w:pPr>
              <w:pStyle w:val="Compact"/>
            </w:pPr>
            <w:r>
              <w:t xml:space="preserve">-86.5%</w:t>
            </w:r>
          </w:p>
        </w:tc>
      </w:tr>
      <w:tr>
        <w:tc>
          <w:tcPr/>
          <w:p>
            <w:pPr>
              <w:pStyle w:val="Compact"/>
            </w:pPr>
            <w:r>
              <w:t xml:space="preserve">2Q</w:t>
            </w:r>
          </w:p>
        </w:tc>
        <w:tc>
          <w:tcPr/>
          <w:p>
            <w:pPr>
              <w:pStyle w:val="Compact"/>
            </w:pPr>
            <w:r>
              <w:t xml:space="preserve">Base</w:t>
            </w:r>
          </w:p>
        </w:tc>
        <w:tc>
          <w:tcPr/>
          <w:p>
            <w:pPr>
              <w:pStyle w:val="Compact"/>
            </w:pPr>
            <w:r>
              <w:t xml:space="preserve">$60.82</w:t>
            </w:r>
          </w:p>
        </w:tc>
        <w:tc>
          <w:tcPr/>
          <w:p>
            <w:pPr>
              <w:pStyle w:val="Compact"/>
            </w:pPr>
            <w:r>
              <w:t xml:space="preserve">-70.9%</w:t>
            </w:r>
          </w:p>
        </w:tc>
      </w:tr>
      <w:tr>
        <w:tc>
          <w:tcPr/>
          <w:p>
            <w:pPr>
              <w:pStyle w:val="Compact"/>
            </w:pPr>
            <w:r>
              <w:t xml:space="preserve">2Q</w:t>
            </w:r>
          </w:p>
        </w:tc>
        <w:tc>
          <w:tcPr/>
          <w:p>
            <w:pPr>
              <w:pStyle w:val="Compact"/>
            </w:pPr>
            <w:r>
              <w:t xml:space="preserve">Bull</w:t>
            </w:r>
          </w:p>
        </w:tc>
        <w:tc>
          <w:tcPr/>
          <w:p>
            <w:pPr>
              <w:pStyle w:val="Compact"/>
            </w:pPr>
            <w:r>
              <w:t xml:space="preserve">$99.88</w:t>
            </w:r>
          </w:p>
        </w:tc>
        <w:tc>
          <w:tcPr/>
          <w:p>
            <w:pPr>
              <w:pStyle w:val="Compact"/>
            </w:pPr>
            <w:r>
              <w:t xml:space="preserve">-52.2%</w:t>
            </w:r>
          </w:p>
        </w:tc>
      </w:tr>
      <w:tr>
        <w:tc>
          <w:tcPr/>
          <w:p>
            <w:pPr>
              <w:pStyle w:val="Compact"/>
            </w:pPr>
            <w:r>
              <w:t xml:space="preserve">4Q</w:t>
            </w:r>
          </w:p>
        </w:tc>
        <w:tc>
          <w:tcPr/>
          <w:p>
            <w:pPr>
              <w:pStyle w:val="Compact"/>
            </w:pPr>
            <w:r>
              <w:t xml:space="preserve">Bear</w:t>
            </w:r>
          </w:p>
        </w:tc>
        <w:tc>
          <w:tcPr/>
          <w:p>
            <w:pPr>
              <w:pStyle w:val="Compact"/>
            </w:pPr>
            <w:r>
              <w:t xml:space="preserve">$28.15</w:t>
            </w:r>
          </w:p>
        </w:tc>
        <w:tc>
          <w:tcPr/>
          <w:p>
            <w:pPr>
              <w:pStyle w:val="Compact"/>
            </w:pPr>
            <w:r>
              <w:t xml:space="preserve">-86.5%</w:t>
            </w:r>
          </w:p>
        </w:tc>
      </w:tr>
      <w:tr>
        <w:tc>
          <w:tcPr/>
          <w:p>
            <w:pPr>
              <w:pStyle w:val="Compact"/>
            </w:pPr>
            <w:r>
              <w:t xml:space="preserve">4Q</w:t>
            </w:r>
          </w:p>
        </w:tc>
        <w:tc>
          <w:tcPr/>
          <w:p>
            <w:pPr>
              <w:pStyle w:val="Compact"/>
            </w:pPr>
            <w:r>
              <w:t xml:space="preserve">Base</w:t>
            </w:r>
          </w:p>
        </w:tc>
        <w:tc>
          <w:tcPr/>
          <w:p>
            <w:pPr>
              <w:pStyle w:val="Compact"/>
            </w:pPr>
            <w:r>
              <w:t xml:space="preserve">$68.05</w:t>
            </w:r>
          </w:p>
        </w:tc>
        <w:tc>
          <w:tcPr/>
          <w:p>
            <w:pPr>
              <w:pStyle w:val="Compact"/>
            </w:pPr>
            <w:r>
              <w:t xml:space="preserve">-67.4%</w:t>
            </w:r>
          </w:p>
        </w:tc>
      </w:tr>
      <w:tr>
        <w:tc>
          <w:tcPr/>
          <w:p>
            <w:pPr>
              <w:pStyle w:val="Compact"/>
            </w:pPr>
            <w:r>
              <w:t xml:space="preserve">4Q</w:t>
            </w:r>
          </w:p>
        </w:tc>
        <w:tc>
          <w:tcPr/>
          <w:p>
            <w:pPr>
              <w:pStyle w:val="Compact"/>
            </w:pPr>
            <w:r>
              <w:t xml:space="preserve">Bull</w:t>
            </w:r>
          </w:p>
        </w:tc>
        <w:tc>
          <w:tcPr/>
          <w:p>
            <w:pPr>
              <w:pStyle w:val="Compact"/>
            </w:pPr>
            <w:r>
              <w:t xml:space="preserve">$119.32</w:t>
            </w:r>
          </w:p>
        </w:tc>
        <w:tc>
          <w:tcPr/>
          <w:p>
            <w:pPr>
              <w:pStyle w:val="Compact"/>
            </w:pPr>
            <w:r>
              <w:t xml:space="preserve">-42.9%</w:t>
            </w:r>
          </w:p>
        </w:tc>
      </w:tr>
      <w:tr>
        <w:tc>
          <w:tcPr/>
          <w:p>
            <w:pPr>
              <w:pStyle w:val="Compact"/>
            </w:pPr>
            <w:r>
              <w:t xml:space="preserve">6Q</w:t>
            </w:r>
          </w:p>
        </w:tc>
        <w:tc>
          <w:tcPr/>
          <w:p>
            <w:pPr>
              <w:pStyle w:val="Compact"/>
            </w:pPr>
            <w:r>
              <w:t xml:space="preserve">Bear</w:t>
            </w:r>
          </w:p>
        </w:tc>
        <w:tc>
          <w:tcPr/>
          <w:p>
            <w:pPr>
              <w:pStyle w:val="Compact"/>
            </w:pPr>
            <w:r>
              <w:t xml:space="preserve">$28.06</w:t>
            </w:r>
          </w:p>
        </w:tc>
        <w:tc>
          <w:tcPr/>
          <w:p>
            <w:pPr>
              <w:pStyle w:val="Compact"/>
            </w:pPr>
            <w:r>
              <w:t xml:space="preserve">-86.6%</w:t>
            </w:r>
          </w:p>
        </w:tc>
      </w:tr>
      <w:tr>
        <w:tc>
          <w:tcPr/>
          <w:p>
            <w:pPr>
              <w:pStyle w:val="Compact"/>
            </w:pPr>
            <w:r>
              <w:t xml:space="preserve">6Q</w:t>
            </w:r>
          </w:p>
        </w:tc>
        <w:tc>
          <w:tcPr/>
          <w:p>
            <w:pPr>
              <w:pStyle w:val="Compact"/>
            </w:pPr>
            <w:r>
              <w:t xml:space="preserve">Base</w:t>
            </w:r>
          </w:p>
        </w:tc>
        <w:tc>
          <w:tcPr/>
          <w:p>
            <w:pPr>
              <w:pStyle w:val="Compact"/>
            </w:pPr>
            <w:r>
              <w:t xml:space="preserve">$76.24</w:t>
            </w:r>
          </w:p>
        </w:tc>
        <w:tc>
          <w:tcPr/>
          <w:p>
            <w:pPr>
              <w:pStyle w:val="Compact"/>
            </w:pPr>
            <w:r>
              <w:t xml:space="preserve">-63.5%</w:t>
            </w:r>
          </w:p>
        </w:tc>
      </w:tr>
      <w:tr>
        <w:tc>
          <w:tcPr/>
          <w:p>
            <w:pPr>
              <w:pStyle w:val="Compact"/>
            </w:pPr>
            <w:r>
              <w:t xml:space="preserve">6Q</w:t>
            </w:r>
          </w:p>
        </w:tc>
        <w:tc>
          <w:tcPr/>
          <w:p>
            <w:pPr>
              <w:pStyle w:val="Compact"/>
            </w:pPr>
            <w:r>
              <w:t xml:space="preserve">Bull</w:t>
            </w:r>
          </w:p>
        </w:tc>
        <w:tc>
          <w:tcPr/>
          <w:p>
            <w:pPr>
              <w:pStyle w:val="Compact"/>
            </w:pPr>
            <w:r>
              <w:t xml:space="preserve">$142.79</w:t>
            </w:r>
          </w:p>
        </w:tc>
        <w:tc>
          <w:tcPr/>
          <w:p>
            <w:pPr>
              <w:pStyle w:val="Compact"/>
            </w:pPr>
            <w:r>
              <w:t xml:space="preserve">-31.7%</w:t>
            </w:r>
          </w:p>
        </w:tc>
      </w:tr>
      <w:tr>
        <w:tc>
          <w:tcPr/>
          <w:p>
            <w:pPr>
              <w:pStyle w:val="Compact"/>
            </w:pPr>
            <w:r>
              <w:t xml:space="preserve">8Q</w:t>
            </w:r>
          </w:p>
        </w:tc>
        <w:tc>
          <w:tcPr/>
          <w:p>
            <w:pPr>
              <w:pStyle w:val="Compact"/>
            </w:pPr>
            <w:r>
              <w:t xml:space="preserve">Bear</w:t>
            </w:r>
          </w:p>
        </w:tc>
        <w:tc>
          <w:tcPr/>
          <w:p>
            <w:pPr>
              <w:pStyle w:val="Compact"/>
            </w:pPr>
            <w:r>
              <w:t xml:space="preserve">$27.95</w:t>
            </w:r>
          </w:p>
        </w:tc>
        <w:tc>
          <w:tcPr/>
          <w:p>
            <w:pPr>
              <w:pStyle w:val="Compact"/>
            </w:pPr>
            <w:r>
              <w:t xml:space="preserve">-86.6%</w:t>
            </w:r>
          </w:p>
        </w:tc>
      </w:tr>
      <w:tr>
        <w:tc>
          <w:tcPr/>
          <w:p>
            <w:pPr>
              <w:pStyle w:val="Compact"/>
            </w:pPr>
            <w:r>
              <w:t xml:space="preserve">8Q</w:t>
            </w:r>
          </w:p>
        </w:tc>
        <w:tc>
          <w:tcPr/>
          <w:p>
            <w:pPr>
              <w:pStyle w:val="Compact"/>
            </w:pPr>
            <w:r>
              <w:t xml:space="preserve">Base</w:t>
            </w:r>
          </w:p>
        </w:tc>
        <w:tc>
          <w:tcPr/>
          <w:p>
            <w:pPr>
              <w:pStyle w:val="Compact"/>
            </w:pPr>
            <w:r>
              <w:t xml:space="preserve">$85.50</w:t>
            </w:r>
          </w:p>
        </w:tc>
        <w:tc>
          <w:tcPr/>
          <w:p>
            <w:pPr>
              <w:pStyle w:val="Compact"/>
            </w:pPr>
            <w:r>
              <w:t xml:space="preserve">-59.1%</w:t>
            </w:r>
          </w:p>
        </w:tc>
      </w:tr>
      <w:tr>
        <w:tc>
          <w:tcPr/>
          <w:p>
            <w:pPr>
              <w:pStyle w:val="Compact"/>
            </w:pPr>
            <w:r>
              <w:t xml:space="preserve">8Q</w:t>
            </w:r>
          </w:p>
        </w:tc>
        <w:tc>
          <w:tcPr/>
          <w:p>
            <w:pPr>
              <w:pStyle w:val="Compact"/>
            </w:pPr>
            <w:r>
              <w:t xml:space="preserve">Bull</w:t>
            </w:r>
          </w:p>
        </w:tc>
        <w:tc>
          <w:tcPr/>
          <w:p>
            <w:pPr>
              <w:pStyle w:val="Compact"/>
            </w:pPr>
            <w:r>
              <w:t xml:space="preserve">$171.09</w:t>
            </w:r>
          </w:p>
        </w:tc>
        <w:tc>
          <w:tcPr/>
          <w:p>
            <w:pPr>
              <w:pStyle w:val="Compact"/>
            </w:pPr>
            <w:r>
              <w:t xml:space="preserve">-18.1%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84.2x</w:t>
            </w:r>
          </w:p>
        </w:tc>
      </w:tr>
      <w:tr>
        <w:tc>
          <w:tcPr/>
          <w:p>
            <w:pPr>
              <w:pStyle w:val="Compact"/>
            </w:pPr>
            <w:r>
              <w:t xml:space="preserve">4Q</w:t>
            </w:r>
          </w:p>
        </w:tc>
        <w:tc>
          <w:tcPr/>
          <w:p>
            <w:pPr>
              <w:pStyle w:val="Compact"/>
            </w:pPr>
            <w:r>
              <w:t xml:space="preserve">70.1x</w:t>
            </w:r>
          </w:p>
        </w:tc>
      </w:tr>
      <w:tr>
        <w:tc>
          <w:tcPr/>
          <w:p>
            <w:pPr>
              <w:pStyle w:val="Compact"/>
            </w:pPr>
            <w:r>
              <w:t xml:space="preserve">6Q</w:t>
            </w:r>
          </w:p>
        </w:tc>
        <w:tc>
          <w:tcPr/>
          <w:p>
            <w:pPr>
              <w:pStyle w:val="Compact"/>
            </w:pPr>
            <w:r>
              <w:t xml:space="preserve">58.3x</w:t>
            </w:r>
          </w:p>
        </w:tc>
      </w:tr>
      <w:tr>
        <w:tc>
          <w:tcPr/>
          <w:p>
            <w:pPr>
              <w:pStyle w:val="Compact"/>
            </w:pPr>
            <w:r>
              <w:t xml:space="preserve">8Q</w:t>
            </w:r>
          </w:p>
        </w:tc>
        <w:tc>
          <w:tcPr/>
          <w:p>
            <w:pPr>
              <w:pStyle w:val="Compact"/>
            </w:pPr>
            <w:r>
              <w:t xml:space="preserve">48.5x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$23.30</w:t>
            </w:r>
          </w:p>
        </w:tc>
        <w:tc>
          <w:tcPr/>
          <w:p>
            <w:pPr>
              <w:pStyle w:val="Compact"/>
            </w:pPr>
            <w:r>
              <w:t xml:space="preserve">-88.9%</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$67.59</w:t>
            </w:r>
          </w:p>
        </w:tc>
        <w:tc>
          <w:tcPr/>
          <w:p>
            <w:pPr>
              <w:pStyle w:val="Compact"/>
            </w:pPr>
            <w:r>
              <w:t xml:space="preserve">-67.7%</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$135.96</w:t>
            </w:r>
          </w:p>
        </w:tc>
        <w:tc>
          <w:tcPr/>
          <w:p>
            <w:pPr>
              <w:pStyle w:val="Compact"/>
            </w:pPr>
            <w:r>
              <w:t xml:space="preserve">-34.9%</w:t>
            </w:r>
          </w:p>
        </w:tc>
      </w:tr>
    </w:tbl>
    <w:p>
      <w:pPr>
        <w:pStyle w:val="BodyText"/>
      </w:pPr>
      <w:r>
        <w:rPr>
          <w:rFonts w:hint="eastAsia"/>
        </w:rPr>
        <w:t xml:space="preserve">概率加权价值</w:t>
      </w:r>
      <w:r>
        <w:t xml:space="preserve"> </w:t>
      </w:r>
      <w:r>
        <w:rPr>
          <w:b/>
          <w:bCs/>
        </w:rPr>
        <w:t xml:space="preserve">$73.61</w:t>
      </w:r>
      <w:r>
        <w:rPr>
          <w:rFonts w:hint="eastAsia"/>
        </w:rPr>
        <w:t xml:space="preserve">（相对现价</w:t>
      </w:r>
      <w:r>
        <w:t xml:space="preserve"> </w:t>
      </w:r>
      <w:r>
        <w:rPr>
          <w:rFonts w:hint="eastAsia"/>
        </w:rPr>
        <w:t xml:space="preserve">-64.8%）。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153.2 bn </w:t>
      </w:r>
      <w:r>
        <w:rPr>
          <w:rFonts w:hint="eastAsia"/>
        </w:rPr>
        <w:t xml:space="preserve">USD；终值占比</w:t>
      </w:r>
      <w:r>
        <w:t xml:space="preserve"> 51.7%。</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87.9%</w:t>
      </w:r>
      <w:r>
        <w:rPr>
          <w:rFonts w:hint="eastAsia"/>
        </w:rPr>
        <w:t xml:space="preserve">；一致预期FY+1增速</w:t>
      </w:r>
      <w:r>
        <w:t xml:space="preserve"> 50.1%。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PLTR | 502.2 bn USD | 80.1x | 88.9x | 92.8% | 84.8% | 0.7% |</w:t>
      </w:r>
      <w:r>
        <w:t xml:space="preserve"> </w:t>
      </w:r>
      <w:r>
        <w:t xml:space="preserve">| CRWD | 269.3 bn USD | 49.1x | 163.8x | 25.8% | 75.2% | 0.7% |</w:t>
      </w:r>
      <w:r>
        <w:t xml:space="preserve"> </w:t>
      </w:r>
      <w:r>
        <w:t xml:space="preserve">| SNOW | 127.1 bn USD | 23.4x | 119.9x | 35.1% | 67.0% | 1.4% |</w:t>
      </w:r>
      <w:r>
        <w:t xml:space="preserve"> </w:t>
      </w:r>
      <w:r>
        <w:t xml:space="preserve">| NOW | 145.1 bn USD | 10.1x | 28.0x | 24.0% | 74.8% | 3.5% |</w:t>
      </w:r>
      <w:r>
        <w:t xml:space="preserve"> </w:t>
      </w:r>
      <w:r>
        <w:t xml:space="preserve">| DDOG | 103.2 bn USD | 25.1x | 96.6x | 35.6% | 79.5% | 1.0%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Multiple compression; gov budget delays (shutdown/CR); </w:t>
      </w:r>
      <w:r>
        <w:rPr>
          <w:rFonts w:hint="eastAsia"/>
        </w:rPr>
        <w:t xml:space="preserve">competition｜估值压缩；政府预算延迟；竞争</w:t>
      </w:r>
    </w:p>
    <w:p>
      <w:pPr>
        <w:pStyle w:val="Compact"/>
        <w:numPr>
          <w:ilvl w:val="0"/>
          <w:numId w:val="1006"/>
        </w:numPr>
      </w:pPr>
      <w:r>
        <w:rPr>
          <w:rFonts w:hint="eastAsia"/>
        </w:rPr>
        <w:t xml:space="preserve">证伪指标:</w:t>
      </w:r>
      <w:r>
        <w:t xml:space="preserve"> US commercial growth decelerates sharply; net dollar retention falls; RPO </w:t>
      </w:r>
      <w:r>
        <w:rPr>
          <w:rFonts w:hint="eastAsia"/>
        </w:rPr>
        <w:t xml:space="preserve">stalls｜美国商业增速骤降；净留存率下降；RPO停滞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209</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5.022e+11</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9.409e+09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2.114e+08</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6.156e+09</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3.358e+09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1.602</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0.8356</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0.5012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0.5012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0.5455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PLTR_model_v20261013-1812.xlsx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LT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LT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LT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LT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LT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ef073863585e997ee1ef3bf500b155db0acf3d8"/>
    <w:p>
      <w:pPr>
        <w:pStyle w:val="Heading1"/>
      </w:pPr>
      <w:r>
        <w:t xml:space="preserve">PLTR Palantir Technologies Inc. — Equity Deep Dive (Professional English) v20261013-1812</w:t>
      </w:r>
    </w:p>
    <w:p>
      <w:pPr>
        <w:pStyle w:val="BlockText"/>
      </w:pPr>
      <w:r>
        <w:t xml:space="preserve">Data as of 2026-10-13 18:12 SGT | Price $209.00 | Mkt cap 502.2 bn USD | Reporting currency USD | Not investment advice.</w:t>
      </w:r>
    </w:p>
    <w:bookmarkStart w:id="39" w:name="investment-thesis-hypothesis"/>
    <w:p>
      <w:pPr>
        <w:pStyle w:val="Heading2"/>
      </w:pPr>
      <w:r>
        <w:t xml:space="preserve">1. Investment thesis (HYPOTHESIS)</w:t>
      </w:r>
    </w:p>
    <w:p>
      <w:pPr>
        <w:pStyle w:val="FirstParagraph"/>
      </w:pPr>
      <w:r>
        <w:t xml:space="preserve">AIP drives rapid US commercial growth and an extremely high Rule of 40, but the valuation implies decades of high growth and the stock is very sensitive to marginal growth changes.</w:t>
      </w:r>
    </w:p>
    <w:p>
      <w:pPr>
        <w:pStyle w:val="Compact"/>
        <w:numPr>
          <w:ilvl w:val="0"/>
          <w:numId w:val="1009"/>
        </w:numPr>
      </w:pPr>
      <w:r>
        <w:rPr>
          <w:b/>
          <w:bCs/>
        </w:rPr>
        <w:t xml:space="preserve">Bull drivers</w:t>
      </w:r>
      <w:r>
        <w:t xml:space="preserve">: US commercial &gt;60% growth sustained; large gov programs (Maven, Army </w:t>
      </w:r>
      <w:r>
        <w:rPr>
          <w:rFonts w:hint="eastAsia"/>
        </w:rPr>
        <w:t xml:space="preserve">enterprise)｜商业高增长持续；大型政府项目</w:t>
      </w:r>
    </w:p>
    <w:p>
      <w:pPr>
        <w:pStyle w:val="Compact"/>
        <w:numPr>
          <w:ilvl w:val="0"/>
          <w:numId w:val="1009"/>
        </w:numPr>
      </w:pPr>
      <w:r>
        <w:rPr>
          <w:b/>
          <w:bCs/>
        </w:rPr>
        <w:t xml:space="preserve">Bear drivers</w:t>
      </w:r>
      <w:r>
        <w:t xml:space="preserve">: Multiple compression; gov budget delays (shutdown/CR); </w:t>
      </w:r>
      <w:r>
        <w:rPr>
          <w:rFonts w:hint="eastAsia"/>
        </w:rPr>
        <w:t xml:space="preserve">competition｜估值压缩；政府预算延迟；竞争</w:t>
      </w:r>
    </w:p>
    <w:p>
      <w:pPr>
        <w:pStyle w:val="Compact"/>
        <w:numPr>
          <w:ilvl w:val="0"/>
          <w:numId w:val="1009"/>
        </w:numPr>
      </w:pPr>
      <w:r>
        <w:rPr>
          <w:b/>
          <w:bCs/>
        </w:rPr>
        <w:t xml:space="preserve">Falsifiers</w:t>
      </w:r>
      <w:r>
        <w:t xml:space="preserve">: US commercial growth decelerates sharply; net dollar retention falls; RPO </w:t>
      </w:r>
      <w:r>
        <w:rPr>
          <w:rFonts w:hint="eastAsia"/>
        </w:rPr>
        <w:t xml:space="preserve">stalls｜美国商业增速骤降；净留存率下降；RPO停滞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software platform </w:t>
      </w:r>
      <w:r>
        <w:rPr>
          <w:rFonts w:hint="eastAsia"/>
        </w:rPr>
        <w:t xml:space="preserve">AI软件平台</w:t>
      </w:r>
      <w:r>
        <w:t xml:space="preserve"> |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p>
    <w:p>
      <w:pPr>
        <w:pStyle w:val="Compact"/>
        <w:numPr>
          <w:ilvl w:val="0"/>
          <w:numId w:val="1010"/>
        </w:numPr>
      </w:pPr>
      <w:r>
        <w:t xml:space="preserve">Business description (DATA):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10"/>
        </w:numPr>
      </w:pPr>
      <w:r>
        <w:t xml:space="preserve">Customers: US DoD/intel agencies, NATO allies, US enterprises </w:t>
      </w:r>
      <w:r>
        <w:rPr>
          <w:rFonts w:hint="eastAsia"/>
        </w:rPr>
        <w:t xml:space="preserve">(AIP)｜美国国防/情报、北约、企业(AIP)</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(AWS, Azure, Oracle), LLM </w:t>
      </w:r>
      <w:r>
        <w:rPr>
          <w:rFonts w:hint="eastAsia"/>
        </w:rPr>
        <w:t xml:space="preserve">providers｜云服务、大模型供应商</w:t>
      </w:r>
    </w:p>
    <w:p>
      <w:pPr>
        <w:pStyle w:val="Compact"/>
        <w:numPr>
          <w:ilvl w:val="0"/>
          <w:numId w:val="1011"/>
        </w:numPr>
      </w:pPr>
      <w:r>
        <w:t xml:space="preserve">Competitors: Snowflake, Databricks, hyperscaler AI stacks, defense primes, </w:t>
      </w:r>
      <w:r>
        <w:rPr>
          <w:rFonts w:hint="eastAsia"/>
        </w:rPr>
        <w:t xml:space="preserve">Anduril｜Snowflake、Databricks、云厂、国防承包商、Anduril</w:t>
      </w:r>
    </w:p>
    <w:p>
      <w:pPr>
        <w:pStyle w:val="Compact"/>
        <w:numPr>
          <w:ilvl w:val="0"/>
          <w:numId w:val="1011"/>
        </w:numPr>
      </w:pPr>
      <w:r>
        <w:t xml:space="preserve">Bottlenecks/regulation: Gov budget/appropriations, forward-deployed engineer </w:t>
      </w:r>
      <w:r>
        <w:rPr>
          <w:rFonts w:hint="eastAsia"/>
        </w:rPr>
        <w:t xml:space="preserve">scaling｜政府预算拨款、驻场工程师扩张</w:t>
      </w:r>
    </w:p>
    <w:p>
      <w:pPr>
        <w:pStyle w:val="Compact"/>
        <w:numPr>
          <w:ilvl w:val="0"/>
          <w:numId w:val="1011"/>
        </w:numPr>
      </w:pPr>
      <w:r>
        <w:t xml:space="preserve">KPIs: US commercial revenue, TCV, RPO, customer count, adj. op </w:t>
      </w:r>
      <w:r>
        <w:rPr>
          <w:rFonts w:hint="eastAsia"/>
        </w:rPr>
        <w:t xml:space="preserve">margin｜美国商业收入、TCV、RPO、客户数、调整后营业利润率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t xml:space="preserve">Cash 9.4 bn USD; debt 0.2 bn USD; TTM FCF 3.4 bn USD (FCF margin 54.6%).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0.41306 (24 analysts); revenue consensus 2.2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$28.21</w:t>
            </w:r>
          </w:p>
        </w:tc>
        <w:tc>
          <w:tcPr/>
          <w:p>
            <w:pPr>
              <w:pStyle w:val="Compact"/>
            </w:pPr>
            <w:r>
              <w:t xml:space="preserve">-86.5%</w:t>
            </w:r>
          </w:p>
        </w:tc>
      </w:tr>
      <w:tr>
        <w:tc>
          <w:tcPr/>
          <w:p>
            <w:pPr>
              <w:pStyle w:val="Compact"/>
            </w:pPr>
            <w:r>
              <w:t xml:space="preserve">2Q</w:t>
            </w:r>
          </w:p>
        </w:tc>
        <w:tc>
          <w:tcPr/>
          <w:p>
            <w:pPr>
              <w:pStyle w:val="Compact"/>
            </w:pPr>
            <w:r>
              <w:t xml:space="preserve">Base</w:t>
            </w:r>
          </w:p>
        </w:tc>
        <w:tc>
          <w:tcPr/>
          <w:p>
            <w:pPr>
              <w:pStyle w:val="Compact"/>
            </w:pPr>
            <w:r>
              <w:t xml:space="preserve">$60.82</w:t>
            </w:r>
          </w:p>
        </w:tc>
        <w:tc>
          <w:tcPr/>
          <w:p>
            <w:pPr>
              <w:pStyle w:val="Compact"/>
            </w:pPr>
            <w:r>
              <w:t xml:space="preserve">-70.9%</w:t>
            </w:r>
          </w:p>
        </w:tc>
      </w:tr>
      <w:tr>
        <w:tc>
          <w:tcPr/>
          <w:p>
            <w:pPr>
              <w:pStyle w:val="Compact"/>
            </w:pPr>
            <w:r>
              <w:t xml:space="preserve">2Q</w:t>
            </w:r>
          </w:p>
        </w:tc>
        <w:tc>
          <w:tcPr/>
          <w:p>
            <w:pPr>
              <w:pStyle w:val="Compact"/>
            </w:pPr>
            <w:r>
              <w:t xml:space="preserve">Bull</w:t>
            </w:r>
          </w:p>
        </w:tc>
        <w:tc>
          <w:tcPr/>
          <w:p>
            <w:pPr>
              <w:pStyle w:val="Compact"/>
            </w:pPr>
            <w:r>
              <w:t xml:space="preserve">$99.88</w:t>
            </w:r>
          </w:p>
        </w:tc>
        <w:tc>
          <w:tcPr/>
          <w:p>
            <w:pPr>
              <w:pStyle w:val="Compact"/>
            </w:pPr>
            <w:r>
              <w:t xml:space="preserve">-52.2%</w:t>
            </w:r>
          </w:p>
        </w:tc>
      </w:tr>
      <w:tr>
        <w:tc>
          <w:tcPr/>
          <w:p>
            <w:pPr>
              <w:pStyle w:val="Compact"/>
            </w:pPr>
            <w:r>
              <w:t xml:space="preserve">4Q</w:t>
            </w:r>
          </w:p>
        </w:tc>
        <w:tc>
          <w:tcPr/>
          <w:p>
            <w:pPr>
              <w:pStyle w:val="Compact"/>
            </w:pPr>
            <w:r>
              <w:t xml:space="preserve">Bear</w:t>
            </w:r>
          </w:p>
        </w:tc>
        <w:tc>
          <w:tcPr/>
          <w:p>
            <w:pPr>
              <w:pStyle w:val="Compact"/>
            </w:pPr>
            <w:r>
              <w:t xml:space="preserve">$28.15</w:t>
            </w:r>
          </w:p>
        </w:tc>
        <w:tc>
          <w:tcPr/>
          <w:p>
            <w:pPr>
              <w:pStyle w:val="Compact"/>
            </w:pPr>
            <w:r>
              <w:t xml:space="preserve">-86.5%</w:t>
            </w:r>
          </w:p>
        </w:tc>
      </w:tr>
      <w:tr>
        <w:tc>
          <w:tcPr/>
          <w:p>
            <w:pPr>
              <w:pStyle w:val="Compact"/>
            </w:pPr>
            <w:r>
              <w:t xml:space="preserve">4Q</w:t>
            </w:r>
          </w:p>
        </w:tc>
        <w:tc>
          <w:tcPr/>
          <w:p>
            <w:pPr>
              <w:pStyle w:val="Compact"/>
            </w:pPr>
            <w:r>
              <w:t xml:space="preserve">Base</w:t>
            </w:r>
          </w:p>
        </w:tc>
        <w:tc>
          <w:tcPr/>
          <w:p>
            <w:pPr>
              <w:pStyle w:val="Compact"/>
            </w:pPr>
            <w:r>
              <w:t xml:space="preserve">$68.05</w:t>
            </w:r>
          </w:p>
        </w:tc>
        <w:tc>
          <w:tcPr/>
          <w:p>
            <w:pPr>
              <w:pStyle w:val="Compact"/>
            </w:pPr>
            <w:r>
              <w:t xml:space="preserve">-67.4%</w:t>
            </w:r>
          </w:p>
        </w:tc>
      </w:tr>
      <w:tr>
        <w:tc>
          <w:tcPr/>
          <w:p>
            <w:pPr>
              <w:pStyle w:val="Compact"/>
            </w:pPr>
            <w:r>
              <w:t xml:space="preserve">4Q</w:t>
            </w:r>
          </w:p>
        </w:tc>
        <w:tc>
          <w:tcPr/>
          <w:p>
            <w:pPr>
              <w:pStyle w:val="Compact"/>
            </w:pPr>
            <w:r>
              <w:t xml:space="preserve">Bull</w:t>
            </w:r>
          </w:p>
        </w:tc>
        <w:tc>
          <w:tcPr/>
          <w:p>
            <w:pPr>
              <w:pStyle w:val="Compact"/>
            </w:pPr>
            <w:r>
              <w:t xml:space="preserve">$119.32</w:t>
            </w:r>
          </w:p>
        </w:tc>
        <w:tc>
          <w:tcPr/>
          <w:p>
            <w:pPr>
              <w:pStyle w:val="Compact"/>
            </w:pPr>
            <w:r>
              <w:t xml:space="preserve">-42.9%</w:t>
            </w:r>
          </w:p>
        </w:tc>
      </w:tr>
      <w:tr>
        <w:tc>
          <w:tcPr/>
          <w:p>
            <w:pPr>
              <w:pStyle w:val="Compact"/>
            </w:pPr>
            <w:r>
              <w:t xml:space="preserve">6Q</w:t>
            </w:r>
          </w:p>
        </w:tc>
        <w:tc>
          <w:tcPr/>
          <w:p>
            <w:pPr>
              <w:pStyle w:val="Compact"/>
            </w:pPr>
            <w:r>
              <w:t xml:space="preserve">Bear</w:t>
            </w:r>
          </w:p>
        </w:tc>
        <w:tc>
          <w:tcPr/>
          <w:p>
            <w:pPr>
              <w:pStyle w:val="Compact"/>
            </w:pPr>
            <w:r>
              <w:t xml:space="preserve">$28.06</w:t>
            </w:r>
          </w:p>
        </w:tc>
        <w:tc>
          <w:tcPr/>
          <w:p>
            <w:pPr>
              <w:pStyle w:val="Compact"/>
            </w:pPr>
            <w:r>
              <w:t xml:space="preserve">-86.6%</w:t>
            </w:r>
          </w:p>
        </w:tc>
      </w:tr>
      <w:tr>
        <w:tc>
          <w:tcPr/>
          <w:p>
            <w:pPr>
              <w:pStyle w:val="Compact"/>
            </w:pPr>
            <w:r>
              <w:t xml:space="preserve">6Q</w:t>
            </w:r>
          </w:p>
        </w:tc>
        <w:tc>
          <w:tcPr/>
          <w:p>
            <w:pPr>
              <w:pStyle w:val="Compact"/>
            </w:pPr>
            <w:r>
              <w:t xml:space="preserve">Base</w:t>
            </w:r>
          </w:p>
        </w:tc>
        <w:tc>
          <w:tcPr/>
          <w:p>
            <w:pPr>
              <w:pStyle w:val="Compact"/>
            </w:pPr>
            <w:r>
              <w:t xml:space="preserve">$76.24</w:t>
            </w:r>
          </w:p>
        </w:tc>
        <w:tc>
          <w:tcPr/>
          <w:p>
            <w:pPr>
              <w:pStyle w:val="Compact"/>
            </w:pPr>
            <w:r>
              <w:t xml:space="preserve">-63.5%</w:t>
            </w:r>
          </w:p>
        </w:tc>
      </w:tr>
      <w:tr>
        <w:tc>
          <w:tcPr/>
          <w:p>
            <w:pPr>
              <w:pStyle w:val="Compact"/>
            </w:pPr>
            <w:r>
              <w:t xml:space="preserve">6Q</w:t>
            </w:r>
          </w:p>
        </w:tc>
        <w:tc>
          <w:tcPr/>
          <w:p>
            <w:pPr>
              <w:pStyle w:val="Compact"/>
            </w:pPr>
            <w:r>
              <w:t xml:space="preserve">Bull</w:t>
            </w:r>
          </w:p>
        </w:tc>
        <w:tc>
          <w:tcPr/>
          <w:p>
            <w:pPr>
              <w:pStyle w:val="Compact"/>
            </w:pPr>
            <w:r>
              <w:t xml:space="preserve">$142.79</w:t>
            </w:r>
          </w:p>
        </w:tc>
        <w:tc>
          <w:tcPr/>
          <w:p>
            <w:pPr>
              <w:pStyle w:val="Compact"/>
            </w:pPr>
            <w:r>
              <w:t xml:space="preserve">-31.7%</w:t>
            </w:r>
          </w:p>
        </w:tc>
      </w:tr>
      <w:tr>
        <w:tc>
          <w:tcPr/>
          <w:p>
            <w:pPr>
              <w:pStyle w:val="Compact"/>
            </w:pPr>
            <w:r>
              <w:t xml:space="preserve">8Q</w:t>
            </w:r>
          </w:p>
        </w:tc>
        <w:tc>
          <w:tcPr/>
          <w:p>
            <w:pPr>
              <w:pStyle w:val="Compact"/>
            </w:pPr>
            <w:r>
              <w:t xml:space="preserve">Bear</w:t>
            </w:r>
          </w:p>
        </w:tc>
        <w:tc>
          <w:tcPr/>
          <w:p>
            <w:pPr>
              <w:pStyle w:val="Compact"/>
            </w:pPr>
            <w:r>
              <w:t xml:space="preserve">$27.95</w:t>
            </w:r>
          </w:p>
        </w:tc>
        <w:tc>
          <w:tcPr/>
          <w:p>
            <w:pPr>
              <w:pStyle w:val="Compact"/>
            </w:pPr>
            <w:r>
              <w:t xml:space="preserve">-86.6%</w:t>
            </w:r>
          </w:p>
        </w:tc>
      </w:tr>
      <w:tr>
        <w:tc>
          <w:tcPr/>
          <w:p>
            <w:pPr>
              <w:pStyle w:val="Compact"/>
            </w:pPr>
            <w:r>
              <w:t xml:space="preserve">8Q</w:t>
            </w:r>
          </w:p>
        </w:tc>
        <w:tc>
          <w:tcPr/>
          <w:p>
            <w:pPr>
              <w:pStyle w:val="Compact"/>
            </w:pPr>
            <w:r>
              <w:t xml:space="preserve">Base</w:t>
            </w:r>
          </w:p>
        </w:tc>
        <w:tc>
          <w:tcPr/>
          <w:p>
            <w:pPr>
              <w:pStyle w:val="Compact"/>
            </w:pPr>
            <w:r>
              <w:t xml:space="preserve">$85.50</w:t>
            </w:r>
          </w:p>
        </w:tc>
        <w:tc>
          <w:tcPr/>
          <w:p>
            <w:pPr>
              <w:pStyle w:val="Compact"/>
            </w:pPr>
            <w:r>
              <w:t xml:space="preserve">-59.1%</w:t>
            </w:r>
          </w:p>
        </w:tc>
      </w:tr>
      <w:tr>
        <w:tc>
          <w:tcPr/>
          <w:p>
            <w:pPr>
              <w:pStyle w:val="Compact"/>
            </w:pPr>
            <w:r>
              <w:t xml:space="preserve">8Q</w:t>
            </w:r>
          </w:p>
        </w:tc>
        <w:tc>
          <w:tcPr/>
          <w:p>
            <w:pPr>
              <w:pStyle w:val="Compact"/>
            </w:pPr>
            <w:r>
              <w:t xml:space="preserve">Bull</w:t>
            </w:r>
          </w:p>
        </w:tc>
        <w:tc>
          <w:tcPr/>
          <w:p>
            <w:pPr>
              <w:pStyle w:val="Compact"/>
            </w:pPr>
            <w:r>
              <w:t xml:space="preserve">$171.09</w:t>
            </w:r>
          </w:p>
        </w:tc>
        <w:tc>
          <w:tcPr/>
          <w:p>
            <w:pPr>
              <w:pStyle w:val="Compact"/>
            </w:pPr>
            <w:r>
              <w:t xml:space="preserve">-18.1%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84.2x</w:t>
            </w:r>
          </w:p>
        </w:tc>
      </w:tr>
      <w:tr>
        <w:tc>
          <w:tcPr/>
          <w:p>
            <w:pPr>
              <w:pStyle w:val="Compact"/>
            </w:pPr>
            <w:r>
              <w:t xml:space="preserve">4Q</w:t>
            </w:r>
          </w:p>
        </w:tc>
        <w:tc>
          <w:tcPr/>
          <w:p>
            <w:pPr>
              <w:pStyle w:val="Compact"/>
            </w:pPr>
            <w:r>
              <w:t xml:space="preserve">70.1x</w:t>
            </w:r>
          </w:p>
        </w:tc>
      </w:tr>
      <w:tr>
        <w:tc>
          <w:tcPr/>
          <w:p>
            <w:pPr>
              <w:pStyle w:val="Compact"/>
            </w:pPr>
            <w:r>
              <w:t xml:space="preserve">6Q</w:t>
            </w:r>
          </w:p>
        </w:tc>
        <w:tc>
          <w:tcPr/>
          <w:p>
            <w:pPr>
              <w:pStyle w:val="Compact"/>
            </w:pPr>
            <w:r>
              <w:t xml:space="preserve">58.3x</w:t>
            </w:r>
          </w:p>
        </w:tc>
      </w:tr>
      <w:tr>
        <w:tc>
          <w:tcPr/>
          <w:p>
            <w:pPr>
              <w:pStyle w:val="Compact"/>
            </w:pPr>
            <w:r>
              <w:t xml:space="preserve">8Q</w:t>
            </w:r>
          </w:p>
        </w:tc>
        <w:tc>
          <w:tcPr/>
          <w:p>
            <w:pPr>
              <w:pStyle w:val="Compact"/>
            </w:pPr>
            <w:r>
              <w:t xml:space="preserve">48.5x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$23.30</w:t>
            </w:r>
          </w:p>
        </w:tc>
        <w:tc>
          <w:tcPr/>
          <w:p>
            <w:pPr>
              <w:pStyle w:val="Compact"/>
            </w:pPr>
            <w:r>
              <w:t xml:space="preserve">-88.9%</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$67.59</w:t>
            </w:r>
          </w:p>
        </w:tc>
        <w:tc>
          <w:tcPr/>
          <w:p>
            <w:pPr>
              <w:pStyle w:val="Compact"/>
            </w:pPr>
            <w:r>
              <w:t xml:space="preserve">-67.7%</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$135.96</w:t>
            </w:r>
          </w:p>
        </w:tc>
        <w:tc>
          <w:tcPr/>
          <w:p>
            <w:pPr>
              <w:pStyle w:val="Compact"/>
            </w:pPr>
            <w:r>
              <w:t xml:space="preserve">-34.9%</w:t>
            </w:r>
          </w:p>
        </w:tc>
      </w:tr>
    </w:tbl>
    <w:p>
      <w:pPr>
        <w:pStyle w:val="BodyText"/>
      </w:pPr>
      <w:r>
        <w:t xml:space="preserve">Probability-weighted value</w:t>
      </w:r>
      <w:r>
        <w:t xml:space="preserve"> </w:t>
      </w:r>
      <w:r>
        <w:rPr>
          <w:b/>
          <w:bCs/>
        </w:rPr>
        <w:t xml:space="preserve">$73.61</w:t>
      </w:r>
      <w:r>
        <w:t xml:space="preserve"> </w:t>
      </w:r>
      <w:r>
        <w:t xml:space="preserve">(-64.8%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153.2 bn USD; terminal share 51.7%.</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87.9%</w:t>
      </w:r>
      <w:r>
        <w:t xml:space="preserve"> </w:t>
      </w:r>
      <w:r>
        <w:t xml:space="preserve">vs consensus FY+1 50.1%.</w:t>
      </w:r>
    </w:p>
    <w:p>
      <w:pPr>
        <w:pStyle w:val="Compact"/>
        <w:numPr>
          <w:ilvl w:val="0"/>
          <w:numId w:val="1013"/>
        </w:numPr>
      </w:pPr>
      <w:r>
        <w:t xml:space="preserve">WACC (CAPM) = rf 5.2% + β 1.60 × ERP 5.0% = 13.2%.</w:t>
      </w:r>
    </w:p>
    <w:p>
      <w:pPr>
        <w:pStyle w:val="Compact"/>
        <w:numPr>
          <w:ilvl w:val="0"/>
          <w:numId w:val="1013"/>
        </w:numPr>
      </w:pPr>
      <w:r>
        <w:t xml:space="preserve">SOTP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Multiple compression; gov budget delays (shutdown/CR); </w:t>
      </w:r>
      <w:r>
        <w:rPr>
          <w:rFonts w:hint="eastAsia"/>
        </w:rPr>
        <w:t xml:space="preserve">competition｜估值压缩；政府预算延迟；竞争</w:t>
      </w:r>
      <w:r>
        <w:t xml:space="preserve"> | Falsifiers: US commercial growth decelerates sharply; net dollar retention falls; RPO </w:t>
      </w:r>
      <w:r>
        <w:rPr>
          <w:rFonts w:hint="eastAsia"/>
        </w:rPr>
        <w:t xml:space="preserve">stalls｜美国商业增速骤降；净留存率下降；RPO停滞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PLTR_model_v20261013-1812.xlsx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2026-10-13T10:13:48Z</dcterms:created>
  <dcterms:modified xsi:type="dcterms:W3CDTF">2026-10-13T10:13:48Z</dcterms:modified>
</cp:coreProperties>
</file>

<file path=docProps/custom.xml><?xml version="1.0" encoding="utf-8"?>
<Properties xmlns="http://schemas.openxmlformats.org/officeDocument/2006/custom-properties" xmlns:vt="http://schemas.openxmlformats.org/officeDocument/2006/docPropsVTypes"/>
</file>