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5.png" ContentType="image/png"/>
  <Override PartName="/word/media/rId28.png" ContentType="image/png"/>
  <Override PartName="/word/media/rId31.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9ad2a6ad25aad9d7570d7c4ad7eaadb9f0f6e61"/>
    <w:p>
      <w:pPr>
        <w:pStyle w:val="Heading1"/>
      </w:pPr>
      <w:r>
        <w:t xml:space="preserve">PLTR Palantir Technologies Inc. — </w:t>
      </w:r>
      <w:r>
        <w:rPr>
          <w:rFonts w:hint="eastAsia"/>
        </w:rPr>
        <w:t xml:space="preserve">个股深度研究</w:t>
      </w:r>
      <w:r>
        <w:t xml:space="preserve"> </w:t>
      </w:r>
      <w:r>
        <w:rPr>
          <w:rFonts w:hint="eastAsia"/>
        </w:rPr>
        <w:t xml:space="preserve">(专业中文版)</w:t>
      </w:r>
      <w:r>
        <w:t xml:space="preserve"> v20261014-0758</w:t>
      </w:r>
    </w:p>
    <w:p>
      <w:pPr>
        <w:pStyle w:val="BlockText"/>
      </w:pPr>
      <w:r>
        <w:rPr>
          <w:rFonts w:hint="eastAsia"/>
        </w:rPr>
        <w:t xml:space="preserve">数据截至</w:t>
      </w:r>
      <w:r>
        <w:t xml:space="preserve"> 2026-10-14 07:58 </w:t>
      </w:r>
      <w:r>
        <w:rPr>
          <w:rFonts w:hint="eastAsia"/>
        </w:rPr>
        <w:t xml:space="preserve">SGT｜价格</w:t>
      </w:r>
      <w:r>
        <w:t xml:space="preserve"> </w:t>
      </w:r>
      <w:r>
        <w:rPr>
          <w:rFonts w:hint="eastAsia"/>
        </w:rPr>
        <w:t xml:space="preserve">$208.67｜市值</w:t>
      </w:r>
      <w:r>
        <w:t xml:space="preserve"> 501.4 bn </w:t>
      </w:r>
      <w:r>
        <w:rPr>
          <w:rFonts w:hint="eastAsia"/>
        </w:rPr>
        <w:t xml:space="preserve">USD｜财报货币</w:t>
      </w:r>
      <w:r>
        <w:t xml:space="preserve"> </w:t>
      </w:r>
      <w:r>
        <w:rPr>
          <w:rFonts w:hint="eastAsia"/>
        </w:rPr>
        <w:t xml:space="preserve">USD｜非投资建议。事实=CONFIRMED/DATA；推断=INFERENCE；假设=ASSUMPTION/HYPOTHESIS。</w:t>
      </w:r>
    </w:p>
    <w:bookmarkStart w:id="9" w:name="投资论点-investment-thesis-hypothesis"/>
    <w:p>
      <w:pPr>
        <w:pStyle w:val="Heading2"/>
      </w:pPr>
      <w:r>
        <w:t xml:space="preserve">1. </w:t>
      </w:r>
      <w:r>
        <w:rPr>
          <w:rFonts w:hint="eastAsia"/>
        </w:rPr>
        <w:t xml:space="preserve">投资论点</w:t>
      </w:r>
      <w:r>
        <w:t xml:space="preserve"> Investment Thesis (HYPOTHESIS)</w:t>
      </w:r>
    </w:p>
    <w:p>
      <w:pPr>
        <w:pStyle w:val="FirstParagraph"/>
      </w:pPr>
      <w:r>
        <w:rPr>
          <w:rFonts w:hint="eastAsia"/>
        </w:rPr>
        <w:t xml:space="preserve">AIP推动美国商业收入高速增长，’Rule</w:t>
      </w:r>
      <w:r>
        <w:t xml:space="preserve"> of </w:t>
      </w:r>
      <w:r>
        <w:rPr>
          <w:rFonts w:hint="eastAsia"/>
        </w:rPr>
        <w:t xml:space="preserve">40’极高；但估值隐含数十年高增长，股价对增速边际变化极度敏感。</w:t>
      </w:r>
    </w:p>
    <w:p>
      <w:pPr>
        <w:pStyle w:val="Compact"/>
        <w:numPr>
          <w:ilvl w:val="0"/>
          <w:numId w:val="1001"/>
        </w:numPr>
      </w:pPr>
      <w:r>
        <w:rPr>
          <w:rFonts w:hint="eastAsia"/>
          <w:b/>
          <w:bCs/>
        </w:rPr>
        <w:t xml:space="preserve">多头驱动</w:t>
      </w:r>
      <w:r>
        <w:t xml:space="preserve">: US commercial &gt;60% growth sustained; large gov programs (Maven, Army </w:t>
      </w:r>
      <w:r>
        <w:rPr>
          <w:rFonts w:hint="eastAsia"/>
        </w:rPr>
        <w:t xml:space="preserve">enterprise)｜商业高增长持续；大型政府项目</w:t>
      </w:r>
    </w:p>
    <w:p>
      <w:pPr>
        <w:pStyle w:val="Compact"/>
        <w:numPr>
          <w:ilvl w:val="0"/>
          <w:numId w:val="1001"/>
        </w:numPr>
      </w:pPr>
      <w:r>
        <w:rPr>
          <w:rFonts w:hint="eastAsia"/>
          <w:b/>
          <w:bCs/>
        </w:rPr>
        <w:t xml:space="preserve">空头驱动</w:t>
      </w:r>
      <w:r>
        <w:t xml:space="preserve">: Multiple compression; gov budget delays (shutdown/CR); </w:t>
      </w:r>
      <w:r>
        <w:rPr>
          <w:rFonts w:hint="eastAsia"/>
        </w:rPr>
        <w:t xml:space="preserve">competition｜估值压缩；政府预算延迟；竞争</w:t>
      </w:r>
    </w:p>
    <w:p>
      <w:pPr>
        <w:pStyle w:val="Compact"/>
        <w:numPr>
          <w:ilvl w:val="0"/>
          <w:numId w:val="1001"/>
        </w:numPr>
      </w:pPr>
      <w:r>
        <w:rPr>
          <w:rFonts w:hint="eastAsia"/>
          <w:b/>
          <w:bCs/>
        </w:rPr>
        <w:t xml:space="preserve">证伪条件</w:t>
      </w:r>
      <w:r>
        <w:rPr>
          <w:b/>
          <w:bCs/>
        </w:rPr>
        <w:t xml:space="preserve"> Falsifiers</w:t>
      </w:r>
      <w:r>
        <w:t xml:space="preserve">: US commercial growth decelerates sharply; net dollar retention falls; RPO </w:t>
      </w:r>
      <w:r>
        <w:rPr>
          <w:rFonts w:hint="eastAsia"/>
        </w:rPr>
        <w:t xml:space="preserve">stalls｜美国商业增速骤降；净留存率下降；RPO停滞</w:t>
      </w:r>
    </w:p>
    <w:bookmarkEnd w:id="9"/>
    <w:bookmarkStart w:id="10" w:name="产品客户与收入模式"/>
    <w:p>
      <w:pPr>
        <w:pStyle w:val="Heading2"/>
      </w:pPr>
      <w:r>
        <w:t xml:space="preserve">2. </w:t>
      </w:r>
      <w:r>
        <w:rPr>
          <w:rFonts w:hint="eastAsia"/>
        </w:rPr>
        <w:t xml:space="preserve">产品、客户与收入模式</w:t>
      </w:r>
    </w:p>
    <w:p>
      <w:pPr>
        <w:pStyle w:val="Compact"/>
        <w:numPr>
          <w:ilvl w:val="0"/>
          <w:numId w:val="1002"/>
        </w:numPr>
      </w:pPr>
      <w:r>
        <w:rPr>
          <w:rFonts w:hint="eastAsia"/>
        </w:rPr>
        <w:t xml:space="preserve">主题</w:t>
      </w:r>
      <w:r>
        <w:t xml:space="preserve"> Theme: AI software platform </w:t>
      </w:r>
      <w:r>
        <w:rPr>
          <w:rFonts w:hint="eastAsia"/>
        </w:rPr>
        <w:t xml:space="preserve">AI软件平台</w:t>
      </w:r>
    </w:p>
    <w:p>
      <w:pPr>
        <w:pStyle w:val="Compact"/>
        <w:numPr>
          <w:ilvl w:val="0"/>
          <w:numId w:val="1002"/>
        </w:numPr>
      </w:pPr>
      <w:r>
        <w:rPr>
          <w:rFonts w:hint="eastAsia"/>
        </w:rPr>
        <w:t xml:space="preserve">业务分部</w:t>
      </w:r>
      <w:r>
        <w:t xml:space="preserve"> Segments: US Government </w:t>
      </w:r>
      <w:r>
        <w:rPr>
          <w:rFonts w:hint="eastAsia"/>
        </w:rPr>
        <w:t xml:space="preserve">美国政府；US</w:t>
      </w:r>
      <w:r>
        <w:t xml:space="preserve"> Commercial </w:t>
      </w:r>
      <w:r>
        <w:rPr>
          <w:rFonts w:hint="eastAsia"/>
        </w:rPr>
        <w:t xml:space="preserve">美国商业；International</w:t>
      </w:r>
      <w:r>
        <w:t xml:space="preserve"> </w:t>
      </w:r>
      <w:r>
        <w:rPr>
          <w:rFonts w:hint="eastAsia"/>
        </w:rPr>
        <w:t xml:space="preserve">国际</w:t>
      </w:r>
    </w:p>
    <w:p>
      <w:pPr>
        <w:pStyle w:val="Compact"/>
        <w:numPr>
          <w:ilvl w:val="0"/>
          <w:numId w:val="1002"/>
        </w:numPr>
      </w:pPr>
      <w:r>
        <w:rPr>
          <w:rFonts w:hint="eastAsia"/>
        </w:rPr>
        <w:t xml:space="preserve">公司描述</w:t>
      </w:r>
      <w:r>
        <w:t xml:space="preserve"> (DATA, </w:t>
      </w:r>
      <w:r>
        <w:rPr>
          <w:rFonts w:hint="eastAsia"/>
        </w:rPr>
        <w:t xml:space="preserve">Yahoo/公司申报):</w:t>
      </w:r>
      <w:r>
        <w:t xml:space="preserve"> Palantir Technologies Inc. builds and deploys software platforms for the intelligence community to assist in counterterrorism investigations and operations in the United States, the United Kingdom, and internationally. It provides Palantir Gotham integrates with other platforms for defense offerings which enables users to see, understand, and act in the modern battlespace; operations centers to the tactical edge; integrating data from domains and sensors in near real-time; and situational awareness and accelerating operational decision-making, as well as facilitates the hand-off between analysts and operational users, helping operators plan and execute real-world responses to threats that have been identified within the platform. It also offers Palantir Foundry, a platform that helps organizations operate by creating a central operating system for their data; and allows individual users</w:t>
      </w:r>
    </w:p>
    <w:p>
      <w:pPr>
        <w:pStyle w:val="Compact"/>
        <w:numPr>
          <w:ilvl w:val="0"/>
          <w:numId w:val="1002"/>
        </w:numPr>
      </w:pPr>
      <w:r>
        <w:rPr>
          <w:rFonts w:hint="eastAsia"/>
        </w:rPr>
        <w:t xml:space="preserve">主要客户:</w:t>
      </w:r>
      <w:r>
        <w:t xml:space="preserve"> US DoD/intel agencies, NATO allies, US enterprises </w:t>
      </w:r>
      <w:r>
        <w:rPr>
          <w:rFonts w:hint="eastAsia"/>
        </w:rPr>
        <w:t xml:space="preserve">(AIP)｜美国国防/情报、北约、企业(AIP)</w:t>
      </w:r>
    </w:p>
    <w:bookmarkEnd w:id="10"/>
    <w:bookmarkStart w:id="11" w:name="行业竞争监管与供应链-analyst-framework"/>
    <w:p>
      <w:pPr>
        <w:pStyle w:val="Heading2"/>
      </w:pPr>
      <w:r>
        <w:t xml:space="preserve">3. </w:t>
      </w:r>
      <w:r>
        <w:rPr>
          <w:rFonts w:hint="eastAsia"/>
        </w:rPr>
        <w:t xml:space="preserve">行业、竞争、监管与供应链</w:t>
      </w:r>
      <w:r>
        <w:t xml:space="preserve"> (ANALYST FRAMEWORK)</w:t>
      </w:r>
    </w:p>
    <w:p>
      <w:pPr>
        <w:pStyle w:val="Compact"/>
        <w:numPr>
          <w:ilvl w:val="0"/>
          <w:numId w:val="1003"/>
        </w:numPr>
      </w:pPr>
      <w:r>
        <w:rPr>
          <w:rFonts w:hint="eastAsia"/>
        </w:rPr>
        <w:t xml:space="preserve">供应商/上游:</w:t>
      </w:r>
      <w:r>
        <w:t xml:space="preserve"> Cloud (AWS, Azure, Oracle), LLM </w:t>
      </w:r>
      <w:r>
        <w:rPr>
          <w:rFonts w:hint="eastAsia"/>
        </w:rPr>
        <w:t xml:space="preserve">providers｜云服务、大模型供应商</w:t>
      </w:r>
    </w:p>
    <w:p>
      <w:pPr>
        <w:pStyle w:val="Compact"/>
        <w:numPr>
          <w:ilvl w:val="0"/>
          <w:numId w:val="1003"/>
        </w:numPr>
      </w:pPr>
      <w:r>
        <w:rPr>
          <w:rFonts w:hint="eastAsia"/>
        </w:rPr>
        <w:t xml:space="preserve">竞争者</w:t>
      </w:r>
      <w:r>
        <w:t xml:space="preserve"> </w:t>
      </w:r>
      <w:r>
        <w:rPr>
          <w:rFonts w:hint="eastAsia"/>
        </w:rPr>
        <w:t xml:space="preserve">(含业外):</w:t>
      </w:r>
      <w:r>
        <w:t xml:space="preserve"> Snowflake, Databricks, hyperscaler AI stacks, defense primes, </w:t>
      </w:r>
      <w:r>
        <w:rPr>
          <w:rFonts w:hint="eastAsia"/>
        </w:rPr>
        <w:t xml:space="preserve">Anduril｜Snowflake、Databricks、云厂、国防承包商、Anduril</w:t>
      </w:r>
    </w:p>
    <w:p>
      <w:pPr>
        <w:pStyle w:val="Compact"/>
        <w:numPr>
          <w:ilvl w:val="0"/>
          <w:numId w:val="1003"/>
        </w:numPr>
      </w:pPr>
      <w:r>
        <w:rPr>
          <w:rFonts w:hint="eastAsia"/>
        </w:rPr>
        <w:t xml:space="preserve">瓶颈/监管:</w:t>
      </w:r>
      <w:r>
        <w:t xml:space="preserve"> Gov budget/appropriations, forward-deployed engineer </w:t>
      </w:r>
      <w:r>
        <w:rPr>
          <w:rFonts w:hint="eastAsia"/>
        </w:rPr>
        <w:t xml:space="preserve">scaling｜政府预算拨款、驻场工程师扩张</w:t>
      </w:r>
    </w:p>
    <w:p>
      <w:pPr>
        <w:pStyle w:val="Compact"/>
        <w:numPr>
          <w:ilvl w:val="0"/>
          <w:numId w:val="1003"/>
        </w:numPr>
      </w:pPr>
      <w:r>
        <w:rPr>
          <w:rFonts w:hint="eastAsia"/>
        </w:rPr>
        <w:t xml:space="preserve">关键KPI:</w:t>
      </w:r>
      <w:r>
        <w:t xml:space="preserve"> US commercial revenue, TCV, RPO, customer count, adj. op </w:t>
      </w:r>
      <w:r>
        <w:rPr>
          <w:rFonts w:hint="eastAsia"/>
        </w:rPr>
        <w:t xml:space="preserve">margin｜美国商业收入、TCV、RPO、客户数、调整后营业利润率</w:t>
      </w:r>
    </w:p>
    <w:p>
      <w:pPr>
        <w:pStyle w:val="Compact"/>
        <w:numPr>
          <w:ilvl w:val="0"/>
          <w:numId w:val="1003"/>
        </w:numPr>
      </w:pPr>
      <w:r>
        <w:rPr>
          <w:rFonts w:hint="eastAsia"/>
        </w:rPr>
        <w:t xml:space="preserve">零部件现货/合约价:</w:t>
      </w:r>
      <w:r>
        <w:t xml:space="preserve"> </w:t>
      </w:r>
      <w:r>
        <w:rPr>
          <w:rFonts w:hint="eastAsia"/>
        </w:rPr>
        <w:t xml:space="preserve">本版未接入付费价格源(TrendForce/DRAMeXchange等)——标注</w:t>
      </w:r>
      <w:r>
        <w:t xml:space="preserve"> </w:t>
      </w:r>
      <w:r>
        <w:rPr>
          <w:b/>
          <w:bCs/>
        </w:rPr>
        <w:t xml:space="preserve">UNAVAILABLE</w:t>
      </w:r>
      <w:r>
        <w:rPr>
          <w:rFonts w:hint="eastAsia"/>
        </w:rPr>
        <w:t xml:space="preserve">，在KPI监控中以定性方式跟踪。</w:t>
      </w:r>
    </w:p>
    <w:bookmarkEnd w:id="11"/>
    <w:bookmarkStart w:id="12" w:name="历史财务与现金流-confirmed-季度-usd"/>
    <w:p>
      <w:pPr>
        <w:pStyle w:val="Heading2"/>
      </w:pPr>
      <w:r>
        <w:t xml:space="preserve">4. </w:t>
      </w:r>
      <w:r>
        <w:rPr>
          <w:rFonts w:hint="eastAsia"/>
        </w:rPr>
        <w:t xml:space="preserve">历史财务与现金流</w:t>
      </w:r>
      <w:r>
        <w:t xml:space="preserve"> (CONFIRMED, </w:t>
      </w:r>
      <w:r>
        <w:rPr>
          <w:rFonts w:hint="eastAsia"/>
        </w:rPr>
        <w:t xml:space="preserve">季度,</w:t>
      </w:r>
      <w:r>
        <w:t xml:space="preserve">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季度</w:t>
            </w:r>
          </w:p>
        </w:tc>
        <w:tc>
          <w:tcPr/>
          <w:p>
            <w:pPr>
              <w:pStyle w:val="Compact"/>
            </w:pPr>
            <w:r>
              <w:rPr>
                <w:rFonts w:hint="eastAsia"/>
              </w:rPr>
              <w:t xml:space="preserve">收入</w:t>
            </w:r>
          </w:p>
        </w:tc>
        <w:tc>
          <w:tcPr/>
          <w:p>
            <w:pPr>
              <w:pStyle w:val="Compact"/>
            </w:pPr>
            <w:r>
              <w:rPr>
                <w:rFonts w:hint="eastAsia"/>
              </w:rPr>
              <w:t xml:space="preserve">毛利</w:t>
            </w:r>
          </w:p>
        </w:tc>
        <w:tc>
          <w:tcPr/>
          <w:p>
            <w:pPr>
              <w:pStyle w:val="Compact"/>
            </w:pPr>
            <w:r>
              <w:rPr>
                <w:rFonts w:hint="eastAsia"/>
              </w:rPr>
              <w:t xml:space="preserve">营业利润</w:t>
            </w:r>
          </w:p>
        </w:tc>
        <w:tc>
          <w:tcPr/>
          <w:p>
            <w:pPr>
              <w:pStyle w:val="Compact"/>
            </w:pPr>
            <w:r>
              <w:rPr>
                <w:rFonts w:hint="eastAsia"/>
              </w:rPr>
              <w:t xml:space="preserve">净利润</w:t>
            </w:r>
          </w:p>
        </w:tc>
        <w:tc>
          <w:tcPr/>
          <w:p>
            <w:pPr>
              <w:pStyle w:val="Compact"/>
            </w:pPr>
            <w:r>
              <w:t xml:space="preserve">FCF</w:t>
            </w:r>
          </w:p>
        </w:tc>
        <w:tc>
          <w:tcPr/>
          <w:p>
            <w:pPr>
              <w:pStyle w:val="Compact"/>
            </w:pPr>
            <w:r>
              <w:rPr>
                <w:rFonts w:hint="eastAsia"/>
              </w:rPr>
              <w:t xml:space="preserve">营业利润率</w:t>
            </w:r>
          </w:p>
        </w:tc>
      </w:tr>
      <w:tr>
        <w:tc>
          <w:tcPr/>
          <w:p>
            <w:pPr>
              <w:pStyle w:val="Compact"/>
            </w:pPr>
            <w:r>
              <w:t xml:space="preserve">2026-06-30</w:t>
            </w:r>
          </w:p>
        </w:tc>
        <w:tc>
          <w:tcPr/>
          <w:p>
            <w:pPr>
              <w:pStyle w:val="Compact"/>
            </w:pPr>
            <w:r>
              <w:t xml:space="preserve">1.9 bn USD</w:t>
            </w:r>
          </w:p>
        </w:tc>
        <w:tc>
          <w:tcPr/>
          <w:p>
            <w:pPr>
              <w:pStyle w:val="Compact"/>
            </w:pPr>
            <w:r>
              <w:t xml:space="preserve">1.6 bn USD</w:t>
            </w:r>
          </w:p>
        </w:tc>
        <w:tc>
          <w:tcPr/>
          <w:p>
            <w:pPr>
              <w:pStyle w:val="Compact"/>
            </w:pPr>
            <w:r>
              <w:t xml:space="preserve">0.9 bn USD</w:t>
            </w:r>
          </w:p>
        </w:tc>
        <w:tc>
          <w:tcPr/>
          <w:p>
            <w:pPr>
              <w:pStyle w:val="Compact"/>
            </w:pPr>
            <w:r>
              <w:t xml:space="preserve">1.1 bn USD</w:t>
            </w:r>
          </w:p>
        </w:tc>
        <w:tc>
          <w:tcPr/>
          <w:p>
            <w:pPr>
              <w:pStyle w:val="Compact"/>
            </w:pPr>
            <w:r>
              <w:t xml:space="preserve">1.2 bn USD</w:t>
            </w:r>
          </w:p>
        </w:tc>
        <w:tc>
          <w:tcPr/>
          <w:p>
            <w:pPr>
              <w:pStyle w:val="Compact"/>
            </w:pPr>
            <w:r>
              <w:t xml:space="preserve">47.1%</w:t>
            </w:r>
          </w:p>
        </w:tc>
      </w:tr>
      <w:tr>
        <w:tc>
          <w:tcPr/>
          <w:p>
            <w:pPr>
              <w:pStyle w:val="Compact"/>
            </w:pPr>
            <w:r>
              <w:t xml:space="preserve">2026-03-31</w:t>
            </w:r>
          </w:p>
        </w:tc>
        <w:tc>
          <w:tcPr/>
          <w:p>
            <w:pPr>
              <w:pStyle w:val="Compact"/>
            </w:pPr>
            <w:r>
              <w:t xml:space="preserve">1.6 bn USD</w:t>
            </w:r>
          </w:p>
        </w:tc>
        <w:tc>
          <w:tcPr/>
          <w:p>
            <w:pPr>
              <w:pStyle w:val="Compact"/>
            </w:pPr>
            <w:r>
              <w:t xml:space="preserve">1.4 bn USD</w:t>
            </w:r>
          </w:p>
        </w:tc>
        <w:tc>
          <w:tcPr/>
          <w:p>
            <w:pPr>
              <w:pStyle w:val="Compact"/>
            </w:pPr>
            <w:r>
              <w:t xml:space="preserve">0.8 bn USD</w:t>
            </w:r>
          </w:p>
        </w:tc>
        <w:tc>
          <w:tcPr/>
          <w:p>
            <w:pPr>
              <w:pStyle w:val="Compact"/>
            </w:pPr>
            <w:r>
              <w:t xml:space="preserve">0.9 bn USD</w:t>
            </w:r>
          </w:p>
        </w:tc>
        <w:tc>
          <w:tcPr/>
          <w:p>
            <w:pPr>
              <w:pStyle w:val="Compact"/>
            </w:pPr>
            <w:r>
              <w:t xml:space="preserve">0.9 bn USD</w:t>
            </w:r>
          </w:p>
        </w:tc>
        <w:tc>
          <w:tcPr/>
          <w:p>
            <w:pPr>
              <w:pStyle w:val="Compact"/>
            </w:pPr>
            <w:r>
              <w:t xml:space="preserve">46.2%</w:t>
            </w:r>
          </w:p>
        </w:tc>
      </w:tr>
      <w:tr>
        <w:tc>
          <w:tcPr/>
          <w:p>
            <w:pPr>
              <w:pStyle w:val="Compact"/>
            </w:pPr>
            <w:r>
              <w:t xml:space="preserve">2025-12-31</w:t>
            </w:r>
          </w:p>
        </w:tc>
        <w:tc>
          <w:tcPr/>
          <w:p>
            <w:pPr>
              <w:pStyle w:val="Compact"/>
            </w:pPr>
            <w:r>
              <w:t xml:space="preserve">1.4 bn USD</w:t>
            </w:r>
          </w:p>
        </w:tc>
        <w:tc>
          <w:tcPr/>
          <w:p>
            <w:pPr>
              <w:pStyle w:val="Compact"/>
            </w:pPr>
            <w:r>
              <w:t xml:space="preserve">1.2 bn USD</w:t>
            </w:r>
          </w:p>
        </w:tc>
        <w:tc>
          <w:tcPr/>
          <w:p>
            <w:pPr>
              <w:pStyle w:val="Compact"/>
            </w:pPr>
            <w:r>
              <w:t xml:space="preserve">0.6 bn USD</w:t>
            </w:r>
          </w:p>
        </w:tc>
        <w:tc>
          <w:tcPr/>
          <w:p>
            <w:pPr>
              <w:pStyle w:val="Compact"/>
            </w:pPr>
            <w:r>
              <w:t xml:space="preserve">0.6 bn USD</w:t>
            </w:r>
          </w:p>
        </w:tc>
        <w:tc>
          <w:tcPr/>
          <w:p>
            <w:pPr>
              <w:pStyle w:val="Compact"/>
            </w:pPr>
            <w:r>
              <w:t xml:space="preserve">0.8 bn USD</w:t>
            </w:r>
          </w:p>
        </w:tc>
        <w:tc>
          <w:tcPr/>
          <w:p>
            <w:pPr>
              <w:pStyle w:val="Compact"/>
            </w:pPr>
            <w:r>
              <w:t xml:space="preserve">40.9%</w:t>
            </w:r>
          </w:p>
        </w:tc>
      </w:tr>
      <w:tr>
        <w:tc>
          <w:tcPr/>
          <w:p>
            <w:pPr>
              <w:pStyle w:val="Compact"/>
            </w:pPr>
            <w:r>
              <w:t xml:space="preserve">2025-09-30</w:t>
            </w:r>
          </w:p>
        </w:tc>
        <w:tc>
          <w:tcPr/>
          <w:p>
            <w:pPr>
              <w:pStyle w:val="Compact"/>
            </w:pPr>
            <w:r>
              <w:t xml:space="preserve">1.2 bn USD</w:t>
            </w:r>
          </w:p>
        </w:tc>
        <w:tc>
          <w:tcPr/>
          <w:p>
            <w:pPr>
              <w:pStyle w:val="Compact"/>
            </w:pPr>
            <w:r>
              <w:t xml:space="preserve">1.0 bn USD</w:t>
            </w:r>
          </w:p>
        </w:tc>
        <w:tc>
          <w:tcPr/>
          <w:p>
            <w:pPr>
              <w:pStyle w:val="Compact"/>
            </w:pPr>
            <w:r>
              <w:t xml:space="preserve">0.4 bn USD</w:t>
            </w:r>
          </w:p>
        </w:tc>
        <w:tc>
          <w:tcPr/>
          <w:p>
            <w:pPr>
              <w:pStyle w:val="Compact"/>
            </w:pPr>
            <w:r>
              <w:t xml:space="preserve">0.5 bn USD</w:t>
            </w:r>
          </w:p>
        </w:tc>
        <w:tc>
          <w:tcPr/>
          <w:p>
            <w:pPr>
              <w:pStyle w:val="Compact"/>
            </w:pPr>
            <w:r>
              <w:t xml:space="preserve">0.5 bn USD</w:t>
            </w:r>
          </w:p>
        </w:tc>
        <w:tc>
          <w:tcPr/>
          <w:p>
            <w:pPr>
              <w:pStyle w:val="Compact"/>
            </w:pPr>
            <w:r>
              <w:t xml:space="preserve">33.3%</w:t>
            </w:r>
          </w:p>
        </w:tc>
      </w:tr>
      <w:tr>
        <w:tc>
          <w:tcPr/>
          <w:p>
            <w:pPr>
              <w:pStyle w:val="Compact"/>
            </w:pPr>
            <w:r>
              <w:t xml:space="preserve">2025-06-30</w:t>
            </w:r>
          </w:p>
        </w:tc>
        <w:tc>
          <w:tcPr/>
          <w:p>
            <w:pPr>
              <w:pStyle w:val="Compact"/>
            </w:pPr>
            <w:r>
              <w:t xml:space="preserve">1.0 bn USD</w:t>
            </w:r>
          </w:p>
        </w:tc>
        <w:tc>
          <w:tcPr/>
          <w:p>
            <w:pPr>
              <w:pStyle w:val="Compact"/>
            </w:pPr>
            <w:r>
              <w:t xml:space="preserve">0.8 bn USD</w:t>
            </w:r>
          </w:p>
        </w:tc>
        <w:tc>
          <w:tcPr/>
          <w:p>
            <w:pPr>
              <w:pStyle w:val="Compact"/>
            </w:pPr>
            <w:r>
              <w:t xml:space="preserve">0.3 bn USD</w:t>
            </w:r>
          </w:p>
        </w:tc>
        <w:tc>
          <w:tcPr/>
          <w:p>
            <w:pPr>
              <w:pStyle w:val="Compact"/>
            </w:pPr>
            <w:r>
              <w:t xml:space="preserve">0.3 bn USD</w:t>
            </w:r>
          </w:p>
        </w:tc>
        <w:tc>
          <w:tcPr/>
          <w:p>
            <w:pPr>
              <w:pStyle w:val="Compact"/>
            </w:pPr>
            <w:r>
              <w:t xml:space="preserve">0.5 bn USD</w:t>
            </w:r>
          </w:p>
        </w:tc>
        <w:tc>
          <w:tcPr/>
          <w:p>
            <w:pPr>
              <w:pStyle w:val="Compact"/>
            </w:pPr>
            <w:r>
              <w:t xml:space="preserve">26.8%</w:t>
            </w:r>
          </w:p>
        </w:tc>
      </w:tr>
    </w:tbl>
    <w:p>
      <w:pPr>
        <w:pStyle w:val="BodyText"/>
      </w:pPr>
      <w:r>
        <w:rPr>
          <w:rFonts w:hint="eastAsia"/>
        </w:rPr>
        <w:t xml:space="preserve">资产负债:</w:t>
      </w:r>
      <w:r>
        <w:t xml:space="preserve"> </w:t>
      </w:r>
      <w:r>
        <w:rPr>
          <w:rFonts w:hint="eastAsia"/>
        </w:rPr>
        <w:t xml:space="preserve">现金</w:t>
      </w:r>
      <w:r>
        <w:t xml:space="preserve"> 9.4 bn </w:t>
      </w:r>
      <w:r>
        <w:rPr>
          <w:rFonts w:hint="eastAsia"/>
        </w:rPr>
        <w:t xml:space="preserve">USD；总负债</w:t>
      </w:r>
      <w:r>
        <w:t xml:space="preserve"> 0.2 bn </w:t>
      </w:r>
      <w:r>
        <w:rPr>
          <w:rFonts w:hint="eastAsia"/>
        </w:rPr>
        <w:t xml:space="preserve">USD；净现金</w:t>
      </w:r>
      <w:r>
        <w:t xml:space="preserve"> 9.2 bn USD。TTM FCF 3.4 bn </w:t>
      </w:r>
      <w:r>
        <w:rPr>
          <w:rFonts w:hint="eastAsia"/>
        </w:rPr>
        <w:t xml:space="preserve">USD（FCF率</w:t>
      </w:r>
      <w:r>
        <w:t xml:space="preserve"> </w:t>
      </w:r>
      <w:r>
        <w:rPr>
          <w:rFonts w:hint="eastAsia"/>
        </w:rPr>
        <w:t xml:space="preserve">54.6%）。</w:t>
      </w:r>
    </w:p>
    <w:bookmarkEnd w:id="12"/>
    <w:bookmarkStart w:id="13" w:name="最新财报-实际-vs-一致预期-vs-指引"/>
    <w:p>
      <w:pPr>
        <w:pStyle w:val="Heading2"/>
      </w:pPr>
      <w:r>
        <w:t xml:space="preserve">5. </w:t>
      </w:r>
      <w:r>
        <w:rPr>
          <w:rFonts w:hint="eastAsia"/>
        </w:rPr>
        <w:t xml:space="preserve">最新财报:</w:t>
      </w:r>
      <w:r>
        <w:t xml:space="preserve"> </w:t>
      </w:r>
      <w:r>
        <w:rPr>
          <w:rFonts w:hint="eastAsia"/>
        </w:rPr>
        <w:t xml:space="preserve">实际</w:t>
      </w:r>
      <w:r>
        <w:t xml:space="preserve"> vs </w:t>
      </w:r>
      <w:r>
        <w:rPr>
          <w:rFonts w:hint="eastAsia"/>
        </w:rPr>
        <w:t xml:space="preserve">一致预期</w:t>
      </w:r>
      <w:r>
        <w:t xml:space="preserve"> vs </w:t>
      </w:r>
      <w:r>
        <w:rPr>
          <w:rFonts w:hint="eastAsia"/>
        </w:rPr>
        <w:t xml:space="preserve">指引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季度</w:t>
            </w:r>
          </w:p>
        </w:tc>
        <w:tc>
          <w:tcPr/>
          <w:p>
            <w:pPr>
              <w:pStyle w:val="Compact"/>
            </w:pPr>
            <w:r>
              <w:rPr>
                <w:rFonts w:hint="eastAsia"/>
              </w:rPr>
              <w:t xml:space="preserve">EPS实际</w:t>
            </w:r>
          </w:p>
        </w:tc>
        <w:tc>
          <w:tcPr/>
          <w:p>
            <w:pPr>
              <w:pStyle w:val="Compact"/>
            </w:pPr>
            <w:r>
              <w:rPr>
                <w:rFonts w:hint="eastAsia"/>
              </w:rPr>
              <w:t xml:space="preserve">EPS一致预期</w:t>
            </w:r>
          </w:p>
        </w:tc>
        <w:tc>
          <w:tcPr/>
          <w:p>
            <w:pPr>
              <w:pStyle w:val="Compact"/>
            </w:pPr>
            <w:r>
              <w:rPr>
                <w:rFonts w:hint="eastAsia"/>
              </w:rPr>
              <w:t xml:space="preserve">超预期%</w:t>
            </w:r>
          </w:p>
        </w:tc>
      </w:tr>
      <w:tr>
        <w:tc>
          <w:tcPr/>
          <w:p>
            <w:pPr>
              <w:pStyle w:val="Compact"/>
            </w:pPr>
            <w:r>
              <w:t xml:space="preserve">2025-09-30</w:t>
            </w:r>
          </w:p>
        </w:tc>
        <w:tc>
          <w:tcPr/>
          <w:p>
            <w:pPr>
              <w:pStyle w:val="Compact"/>
            </w:pPr>
            <w:r>
              <w:t xml:space="preserve">0.21</w:t>
            </w:r>
          </w:p>
        </w:tc>
        <w:tc>
          <w:tcPr/>
          <w:p>
            <w:pPr>
              <w:pStyle w:val="Compact"/>
            </w:pPr>
            <w:r>
              <w:t xml:space="preserve">0.16738</w:t>
            </w:r>
          </w:p>
        </w:tc>
        <w:tc>
          <w:tcPr/>
          <w:p>
            <w:pPr>
              <w:pStyle w:val="Compact"/>
            </w:pPr>
            <w:r>
              <w:t xml:space="preserve">0.2546</w:t>
            </w:r>
          </w:p>
        </w:tc>
      </w:tr>
      <w:tr>
        <w:tc>
          <w:tcPr/>
          <w:p>
            <w:pPr>
              <w:pStyle w:val="Compact"/>
            </w:pPr>
            <w:r>
              <w:t xml:space="preserve">2025-12-31</w:t>
            </w:r>
          </w:p>
        </w:tc>
        <w:tc>
          <w:tcPr/>
          <w:p>
            <w:pPr>
              <w:pStyle w:val="Compact"/>
            </w:pPr>
            <w:r>
              <w:t xml:space="preserve">0.25</w:t>
            </w:r>
          </w:p>
        </w:tc>
        <w:tc>
          <w:tcPr/>
          <w:p>
            <w:pPr>
              <w:pStyle w:val="Compact"/>
            </w:pPr>
            <w:r>
              <w:t xml:space="preserve">0.2302</w:t>
            </w:r>
          </w:p>
        </w:tc>
        <w:tc>
          <w:tcPr/>
          <w:p>
            <w:pPr>
              <w:pStyle w:val="Compact"/>
            </w:pPr>
            <w:r>
              <w:t xml:space="preserve">0.086</w:t>
            </w:r>
          </w:p>
        </w:tc>
      </w:tr>
      <w:tr>
        <w:tc>
          <w:tcPr/>
          <w:p>
            <w:pPr>
              <w:pStyle w:val="Compact"/>
            </w:pPr>
            <w:r>
              <w:t xml:space="preserve">2026-03-31</w:t>
            </w:r>
          </w:p>
        </w:tc>
        <w:tc>
          <w:tcPr/>
          <w:p>
            <w:pPr>
              <w:pStyle w:val="Compact"/>
            </w:pPr>
            <w:r>
              <w:t xml:space="preserve">0.33</w:t>
            </w:r>
          </w:p>
        </w:tc>
        <w:tc>
          <w:tcPr/>
          <w:p>
            <w:pPr>
              <w:pStyle w:val="Compact"/>
            </w:pPr>
            <w:r>
              <w:t xml:space="preserve">0.27946</w:t>
            </w:r>
          </w:p>
        </w:tc>
        <w:tc>
          <w:tcPr/>
          <w:p>
            <w:pPr>
              <w:pStyle w:val="Compact"/>
            </w:pPr>
            <w:r>
              <w:t xml:space="preserve">0.1808</w:t>
            </w:r>
          </w:p>
        </w:tc>
      </w:tr>
      <w:tr>
        <w:tc>
          <w:tcPr/>
          <w:p>
            <w:pPr>
              <w:pStyle w:val="Compact"/>
            </w:pPr>
            <w:r>
              <w:t xml:space="preserve">2026-06-30</w:t>
            </w:r>
          </w:p>
        </w:tc>
        <w:tc>
          <w:tcPr/>
          <w:p>
            <w:pPr>
              <w:pStyle w:val="Compact"/>
            </w:pPr>
            <w:r>
              <w:t xml:space="preserve">0.41</w:t>
            </w:r>
          </w:p>
        </w:tc>
        <w:tc>
          <w:tcPr/>
          <w:p>
            <w:pPr>
              <w:pStyle w:val="Compact"/>
            </w:pPr>
            <w:r>
              <w:t xml:space="preserve">0.34596</w:t>
            </w:r>
          </w:p>
        </w:tc>
        <w:tc>
          <w:tcPr/>
          <w:p>
            <w:pPr>
              <w:pStyle w:val="Compact"/>
            </w:pPr>
            <w:r>
              <w:t xml:space="preserve">0.1851</w:t>
            </w:r>
          </w:p>
        </w:tc>
      </w:tr>
    </w:tbl>
    <w:p>
      <w:pPr>
        <w:pStyle w:val="Compact"/>
        <w:numPr>
          <w:ilvl w:val="0"/>
          <w:numId w:val="1004"/>
        </w:numPr>
      </w:pPr>
      <w:r>
        <w:rPr>
          <w:rFonts w:hint="eastAsia"/>
        </w:rPr>
        <w:t xml:space="preserve">管理层指引</w:t>
      </w:r>
      <w:r>
        <w:t xml:space="preserve"> Guidance: </w:t>
      </w:r>
      <w:r>
        <w:rPr>
          <w:rFonts w:hint="eastAsia"/>
        </w:rPr>
        <w:t xml:space="preserve">自动数据源不含指引——</w:t>
      </w:r>
      <w:r>
        <w:rPr>
          <w:rFonts w:hint="eastAsia"/>
          <w:b/>
          <w:bCs/>
        </w:rPr>
        <w:t xml:space="preserve">UNAVAILABLE（待从公司IR新闻稿录入）</w:t>
      </w:r>
      <w:r>
        <w:t xml:space="preserve">。</w:t>
      </w:r>
    </w:p>
    <w:p>
      <w:pPr>
        <w:pStyle w:val="Compact"/>
        <w:numPr>
          <w:ilvl w:val="0"/>
          <w:numId w:val="1004"/>
        </w:numPr>
      </w:pPr>
      <w:r>
        <w:rPr>
          <w:rFonts w:hint="eastAsia"/>
        </w:rPr>
        <w:t xml:space="preserve">下次财报日</w:t>
      </w:r>
      <w:r>
        <w:t xml:space="preserve"> (Yahoo, TENTATIVE </w:t>
      </w:r>
      <w:r>
        <w:rPr>
          <w:rFonts w:hint="eastAsia"/>
        </w:rPr>
        <w:t xml:space="preserve">直至公司确认):</w:t>
      </w:r>
      <w:r>
        <w:t xml:space="preserve"> </w:t>
      </w:r>
      <w:r>
        <w:rPr>
          <w:b/>
          <w:bCs/>
        </w:rPr>
        <w:t xml:space="preserve">2026-11-03</w:t>
      </w:r>
      <w:r>
        <w:rPr>
          <w:rFonts w:hint="eastAsia"/>
        </w:rPr>
        <w:t xml:space="preserve">；本季EPS一致预期</w:t>
      </w:r>
      <w:r>
        <w:t xml:space="preserve"> </w:t>
      </w:r>
      <w:r>
        <w:rPr>
          <w:rFonts w:hint="eastAsia"/>
        </w:rPr>
        <w:t xml:space="preserve">0.41306（24位分析师）；收入一致预期</w:t>
      </w:r>
      <w:r>
        <w:t xml:space="preserve"> 2.2 bn USD。</w:t>
      </w:r>
    </w:p>
    <w:bookmarkEnd w:id="13"/>
    <w:bookmarkStart w:id="14" w:name="未来2468季度驱动与价格合理性"/>
    <w:p>
      <w:pPr>
        <w:pStyle w:val="Heading2"/>
      </w:pPr>
      <w:r>
        <w:t xml:space="preserve">6. </w:t>
      </w:r>
      <w:r>
        <w:rPr>
          <w:rFonts w:hint="eastAsia"/>
        </w:rPr>
        <w:t xml:space="preserve">未来2/4/6/8季度驱动与价格合理性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期限</w:t>
            </w:r>
          </w:p>
        </w:tc>
        <w:tc>
          <w:tcPr/>
          <w:p>
            <w:pPr>
              <w:pStyle w:val="Compact"/>
            </w:pPr>
            <w:r>
              <w:rPr>
                <w:rFonts w:hint="eastAsia"/>
              </w:rPr>
              <w:t xml:space="preserve">情景</w:t>
            </w:r>
          </w:p>
        </w:tc>
        <w:tc>
          <w:tcPr/>
          <w:p>
            <w:pPr>
              <w:pStyle w:val="Compact"/>
            </w:pPr>
            <w:r>
              <w:rPr>
                <w:rFonts w:hint="eastAsia"/>
              </w:rPr>
              <w:t xml:space="preserve">期限价格现值</w:t>
            </w:r>
          </w:p>
        </w:tc>
        <w:tc>
          <w:tcPr/>
          <w:p>
            <w:pPr>
              <w:pStyle w:val="Compact"/>
            </w:pPr>
            <w:r>
              <w:rPr>
                <w:rFonts w:hint="eastAsia"/>
              </w:rPr>
              <w:t xml:space="preserve">相对现价</w:t>
            </w:r>
          </w:p>
        </w:tc>
      </w:tr>
      <w:tr>
        <w:tc>
          <w:tcPr/>
          <w:p>
            <w:pPr>
              <w:pStyle w:val="Compact"/>
            </w:pPr>
            <w:r>
              <w:t xml:space="preserve">2Q</w:t>
            </w:r>
          </w:p>
        </w:tc>
        <w:tc>
          <w:tcPr/>
          <w:p>
            <w:pPr>
              <w:pStyle w:val="Compact"/>
            </w:pPr>
            <w:r>
              <w:t xml:space="preserve">Bear</w:t>
            </w:r>
          </w:p>
        </w:tc>
        <w:tc>
          <w:tcPr/>
          <w:p>
            <w:pPr>
              <w:pStyle w:val="Compact"/>
            </w:pPr>
            <w:r>
              <w:t xml:space="preserve">$28.21</w:t>
            </w:r>
          </w:p>
        </w:tc>
        <w:tc>
          <w:tcPr/>
          <w:p>
            <w:pPr>
              <w:pStyle w:val="Compact"/>
            </w:pPr>
            <w:r>
              <w:t xml:space="preserve">-86.5%</w:t>
            </w:r>
          </w:p>
        </w:tc>
      </w:tr>
      <w:tr>
        <w:tc>
          <w:tcPr/>
          <w:p>
            <w:pPr>
              <w:pStyle w:val="Compact"/>
            </w:pPr>
            <w:r>
              <w:t xml:space="preserve">2Q</w:t>
            </w:r>
          </w:p>
        </w:tc>
        <w:tc>
          <w:tcPr/>
          <w:p>
            <w:pPr>
              <w:pStyle w:val="Compact"/>
            </w:pPr>
            <w:r>
              <w:t xml:space="preserve">Base</w:t>
            </w:r>
          </w:p>
        </w:tc>
        <w:tc>
          <w:tcPr/>
          <w:p>
            <w:pPr>
              <w:pStyle w:val="Compact"/>
            </w:pPr>
            <w:r>
              <w:t xml:space="preserve">$60.81</w:t>
            </w:r>
          </w:p>
        </w:tc>
        <w:tc>
          <w:tcPr/>
          <w:p>
            <w:pPr>
              <w:pStyle w:val="Compact"/>
            </w:pPr>
            <w:r>
              <w:t xml:space="preserve">-70.9%</w:t>
            </w:r>
          </w:p>
        </w:tc>
      </w:tr>
      <w:tr>
        <w:tc>
          <w:tcPr/>
          <w:p>
            <w:pPr>
              <w:pStyle w:val="Compact"/>
            </w:pPr>
            <w:r>
              <w:t xml:space="preserve">2Q</w:t>
            </w:r>
          </w:p>
        </w:tc>
        <w:tc>
          <w:tcPr/>
          <w:p>
            <w:pPr>
              <w:pStyle w:val="Compact"/>
            </w:pPr>
            <w:r>
              <w:t xml:space="preserve">Bull</w:t>
            </w:r>
          </w:p>
        </w:tc>
        <w:tc>
          <w:tcPr/>
          <w:p>
            <w:pPr>
              <w:pStyle w:val="Compact"/>
            </w:pPr>
            <w:r>
              <w:t xml:space="preserve">$99.87</w:t>
            </w:r>
          </w:p>
        </w:tc>
        <w:tc>
          <w:tcPr/>
          <w:p>
            <w:pPr>
              <w:pStyle w:val="Compact"/>
            </w:pPr>
            <w:r>
              <w:t xml:space="preserve">-52.1%</w:t>
            </w:r>
          </w:p>
        </w:tc>
      </w:tr>
      <w:tr>
        <w:tc>
          <w:tcPr/>
          <w:p>
            <w:pPr>
              <w:pStyle w:val="Compact"/>
            </w:pPr>
            <w:r>
              <w:t xml:space="preserve">4Q</w:t>
            </w:r>
          </w:p>
        </w:tc>
        <w:tc>
          <w:tcPr/>
          <w:p>
            <w:pPr>
              <w:pStyle w:val="Compact"/>
            </w:pPr>
            <w:r>
              <w:t xml:space="preserve">Bear</w:t>
            </w:r>
          </w:p>
        </w:tc>
        <w:tc>
          <w:tcPr/>
          <w:p>
            <w:pPr>
              <w:pStyle w:val="Compact"/>
            </w:pPr>
            <w:r>
              <w:t xml:space="preserve">$28.14</w:t>
            </w:r>
          </w:p>
        </w:tc>
        <w:tc>
          <w:tcPr/>
          <w:p>
            <w:pPr>
              <w:pStyle w:val="Compact"/>
            </w:pPr>
            <w:r>
              <w:t xml:space="preserve">-86.5%</w:t>
            </w:r>
          </w:p>
        </w:tc>
      </w:tr>
      <w:tr>
        <w:tc>
          <w:tcPr/>
          <w:p>
            <w:pPr>
              <w:pStyle w:val="Compact"/>
            </w:pPr>
            <w:r>
              <w:t xml:space="preserve">4Q</w:t>
            </w:r>
          </w:p>
        </w:tc>
        <w:tc>
          <w:tcPr/>
          <w:p>
            <w:pPr>
              <w:pStyle w:val="Compact"/>
            </w:pPr>
            <w:r>
              <w:t xml:space="preserve">Base</w:t>
            </w:r>
          </w:p>
        </w:tc>
        <w:tc>
          <w:tcPr/>
          <w:p>
            <w:pPr>
              <w:pStyle w:val="Compact"/>
            </w:pPr>
            <w:r>
              <w:t xml:space="preserve">$68.04</w:t>
            </w:r>
          </w:p>
        </w:tc>
        <w:tc>
          <w:tcPr/>
          <w:p>
            <w:pPr>
              <w:pStyle w:val="Compact"/>
            </w:pPr>
            <w:r>
              <w:t xml:space="preserve">-67.4%</w:t>
            </w:r>
          </w:p>
        </w:tc>
      </w:tr>
      <w:tr>
        <w:tc>
          <w:tcPr/>
          <w:p>
            <w:pPr>
              <w:pStyle w:val="Compact"/>
            </w:pPr>
            <w:r>
              <w:t xml:space="preserve">4Q</w:t>
            </w:r>
          </w:p>
        </w:tc>
        <w:tc>
          <w:tcPr/>
          <w:p>
            <w:pPr>
              <w:pStyle w:val="Compact"/>
            </w:pPr>
            <w:r>
              <w:t xml:space="preserve">Bull</w:t>
            </w:r>
          </w:p>
        </w:tc>
        <w:tc>
          <w:tcPr/>
          <w:p>
            <w:pPr>
              <w:pStyle w:val="Compact"/>
            </w:pPr>
            <w:r>
              <w:t xml:space="preserve">$119.30</w:t>
            </w:r>
          </w:p>
        </w:tc>
        <w:tc>
          <w:tcPr/>
          <w:p>
            <w:pPr>
              <w:pStyle w:val="Compact"/>
            </w:pPr>
            <w:r>
              <w:t xml:space="preserve">-42.8%</w:t>
            </w:r>
          </w:p>
        </w:tc>
      </w:tr>
      <w:tr>
        <w:tc>
          <w:tcPr/>
          <w:p>
            <w:pPr>
              <w:pStyle w:val="Compact"/>
            </w:pPr>
            <w:r>
              <w:t xml:space="preserve">6Q</w:t>
            </w:r>
          </w:p>
        </w:tc>
        <w:tc>
          <w:tcPr/>
          <w:p>
            <w:pPr>
              <w:pStyle w:val="Compact"/>
            </w:pPr>
            <w:r>
              <w:t xml:space="preserve">Bear</w:t>
            </w:r>
          </w:p>
        </w:tc>
        <w:tc>
          <w:tcPr/>
          <w:p>
            <w:pPr>
              <w:pStyle w:val="Compact"/>
            </w:pPr>
            <w:r>
              <w:t xml:space="preserve">$28.06</w:t>
            </w:r>
          </w:p>
        </w:tc>
        <w:tc>
          <w:tcPr/>
          <w:p>
            <w:pPr>
              <w:pStyle w:val="Compact"/>
            </w:pPr>
            <w:r>
              <w:t xml:space="preserve">-86.6%</w:t>
            </w:r>
          </w:p>
        </w:tc>
      </w:tr>
      <w:tr>
        <w:tc>
          <w:tcPr/>
          <w:p>
            <w:pPr>
              <w:pStyle w:val="Compact"/>
            </w:pPr>
            <w:r>
              <w:t xml:space="preserve">6Q</w:t>
            </w:r>
          </w:p>
        </w:tc>
        <w:tc>
          <w:tcPr/>
          <w:p>
            <w:pPr>
              <w:pStyle w:val="Compact"/>
            </w:pPr>
            <w:r>
              <w:t xml:space="preserve">Base</w:t>
            </w:r>
          </w:p>
        </w:tc>
        <w:tc>
          <w:tcPr/>
          <w:p>
            <w:pPr>
              <w:pStyle w:val="Compact"/>
            </w:pPr>
            <w:r>
              <w:t xml:space="preserve">$76.22</w:t>
            </w:r>
          </w:p>
        </w:tc>
        <w:tc>
          <w:tcPr/>
          <w:p>
            <w:pPr>
              <w:pStyle w:val="Compact"/>
            </w:pPr>
            <w:r>
              <w:t xml:space="preserve">-63.5%</w:t>
            </w:r>
          </w:p>
        </w:tc>
      </w:tr>
      <w:tr>
        <w:tc>
          <w:tcPr/>
          <w:p>
            <w:pPr>
              <w:pStyle w:val="Compact"/>
            </w:pPr>
            <w:r>
              <w:t xml:space="preserve">6Q</w:t>
            </w:r>
          </w:p>
        </w:tc>
        <w:tc>
          <w:tcPr/>
          <w:p>
            <w:pPr>
              <w:pStyle w:val="Compact"/>
            </w:pPr>
            <w:r>
              <w:t xml:space="preserve">Bull</w:t>
            </w:r>
          </w:p>
        </w:tc>
        <w:tc>
          <w:tcPr/>
          <w:p>
            <w:pPr>
              <w:pStyle w:val="Compact"/>
            </w:pPr>
            <w:r>
              <w:t xml:space="preserve">$142.75</w:t>
            </w:r>
          </w:p>
        </w:tc>
        <w:tc>
          <w:tcPr/>
          <w:p>
            <w:pPr>
              <w:pStyle w:val="Compact"/>
            </w:pPr>
            <w:r>
              <w:t xml:space="preserve">-31.6%</w:t>
            </w:r>
          </w:p>
        </w:tc>
      </w:tr>
      <w:tr>
        <w:tc>
          <w:tcPr/>
          <w:p>
            <w:pPr>
              <w:pStyle w:val="Compact"/>
            </w:pPr>
            <w:r>
              <w:t xml:space="preserve">8Q</w:t>
            </w:r>
          </w:p>
        </w:tc>
        <w:tc>
          <w:tcPr/>
          <w:p>
            <w:pPr>
              <w:pStyle w:val="Compact"/>
            </w:pPr>
            <w:r>
              <w:t xml:space="preserve">Bear</w:t>
            </w:r>
          </w:p>
        </w:tc>
        <w:tc>
          <w:tcPr/>
          <w:p>
            <w:pPr>
              <w:pStyle w:val="Compact"/>
            </w:pPr>
            <w:r>
              <w:t xml:space="preserve">$27.94</w:t>
            </w:r>
          </w:p>
        </w:tc>
        <w:tc>
          <w:tcPr/>
          <w:p>
            <w:pPr>
              <w:pStyle w:val="Compact"/>
            </w:pPr>
            <w:r>
              <w:t xml:space="preserve">-86.6%</w:t>
            </w:r>
          </w:p>
        </w:tc>
      </w:tr>
      <w:tr>
        <w:tc>
          <w:tcPr/>
          <w:p>
            <w:pPr>
              <w:pStyle w:val="Compact"/>
            </w:pPr>
            <w:r>
              <w:t xml:space="preserve">8Q</w:t>
            </w:r>
          </w:p>
        </w:tc>
        <w:tc>
          <w:tcPr/>
          <w:p>
            <w:pPr>
              <w:pStyle w:val="Compact"/>
            </w:pPr>
            <w:r>
              <w:t xml:space="preserve">Base</w:t>
            </w:r>
          </w:p>
        </w:tc>
        <w:tc>
          <w:tcPr/>
          <w:p>
            <w:pPr>
              <w:pStyle w:val="Compact"/>
            </w:pPr>
            <w:r>
              <w:t xml:space="preserve">$85.47</w:t>
            </w:r>
          </w:p>
        </w:tc>
        <w:tc>
          <w:tcPr/>
          <w:p>
            <w:pPr>
              <w:pStyle w:val="Compact"/>
            </w:pPr>
            <w:r>
              <w:t xml:space="preserve">-59.0%</w:t>
            </w:r>
          </w:p>
        </w:tc>
      </w:tr>
      <w:tr>
        <w:tc>
          <w:tcPr/>
          <w:p>
            <w:pPr>
              <w:pStyle w:val="Compact"/>
            </w:pPr>
            <w:r>
              <w:t xml:space="preserve">8Q</w:t>
            </w:r>
          </w:p>
        </w:tc>
        <w:tc>
          <w:tcPr/>
          <w:p>
            <w:pPr>
              <w:pStyle w:val="Compact"/>
            </w:pPr>
            <w:r>
              <w:t xml:space="preserve">Bull</w:t>
            </w:r>
          </w:p>
        </w:tc>
        <w:tc>
          <w:tcPr/>
          <w:p>
            <w:pPr>
              <w:pStyle w:val="Compact"/>
            </w:pPr>
            <w:r>
              <w:t xml:space="preserve">$171.03</w:t>
            </w:r>
          </w:p>
        </w:tc>
        <w:tc>
          <w:tcPr/>
          <w:p>
            <w:pPr>
              <w:pStyle w:val="Compact"/>
            </w:pPr>
            <w:r>
              <w:t xml:space="preserve">-18.0%</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现价隐含的</w:t>
            </w:r>
            <w:r>
              <w:t xml:space="preserve"> EV/NTM-FCF (Base </w:t>
            </w:r>
            <w:r>
              <w:rPr>
                <w:rFonts w:hint="eastAsia"/>
              </w:rPr>
              <w:t xml:space="preserve">路径):</w:t>
            </w:r>
          </w:p>
        </w:tc>
        <w:tc>
          <w:tcPr/>
          <w:p>
            <w:pPr>
              <w:pStyle w:val="Compact"/>
            </w:pPr>
            <w:r>
              <w:rPr>
                <w:rFonts w:hint="eastAsia"/>
              </w:rPr>
              <w:t xml:space="preserve">期限</w:t>
            </w:r>
          </w:p>
        </w:tc>
      </w:tr>
      <w:tr>
        <w:tc>
          <w:tcPr/>
          <w:p>
            <w:pPr>
              <w:pStyle w:val="Compact"/>
            </w:pPr>
            <w:r>
              <w:t xml:space="preserve">2Q</w:t>
            </w:r>
          </w:p>
        </w:tc>
        <w:tc>
          <w:tcPr/>
          <w:p>
            <w:pPr>
              <w:pStyle w:val="Compact"/>
            </w:pPr>
            <w:r>
              <w:t xml:space="preserve">84.1x</w:t>
            </w:r>
          </w:p>
        </w:tc>
      </w:tr>
      <w:tr>
        <w:tc>
          <w:tcPr/>
          <w:p>
            <w:pPr>
              <w:pStyle w:val="Compact"/>
            </w:pPr>
            <w:r>
              <w:t xml:space="preserve">4Q</w:t>
            </w:r>
          </w:p>
        </w:tc>
        <w:tc>
          <w:tcPr/>
          <w:p>
            <w:pPr>
              <w:pStyle w:val="Compact"/>
            </w:pPr>
            <w:r>
              <w:t xml:space="preserve">69.9x</w:t>
            </w:r>
          </w:p>
        </w:tc>
      </w:tr>
      <w:tr>
        <w:tc>
          <w:tcPr/>
          <w:p>
            <w:pPr>
              <w:pStyle w:val="Compact"/>
            </w:pPr>
            <w:r>
              <w:t xml:space="preserve">6Q</w:t>
            </w:r>
          </w:p>
        </w:tc>
        <w:tc>
          <w:tcPr/>
          <w:p>
            <w:pPr>
              <w:pStyle w:val="Compact"/>
            </w:pPr>
            <w:r>
              <w:t xml:space="preserve">58.2x</w:t>
            </w:r>
          </w:p>
        </w:tc>
      </w:tr>
      <w:tr>
        <w:tc>
          <w:tcPr/>
          <w:p>
            <w:pPr>
              <w:pStyle w:val="Compact"/>
            </w:pPr>
            <w:r>
              <w:t xml:space="preserve">8Q</w:t>
            </w:r>
          </w:p>
        </w:tc>
        <w:tc>
          <w:tcPr/>
          <w:p>
            <w:pPr>
              <w:pStyle w:val="Compact"/>
            </w:pPr>
            <w:r>
              <w:t xml:space="preserve">48.4x</w:t>
            </w:r>
          </w:p>
        </w:tc>
      </w:tr>
    </w:tbl>
    <w:p>
      <w:pPr>
        <w:pStyle w:val="BodyText"/>
      </w:pPr>
      <w:r>
        <w:rPr>
          <w:rFonts w:hint="eastAsia"/>
        </w:rPr>
        <w:t xml:space="preserve">解读:</w:t>
      </w:r>
      <w:r>
        <w:t xml:space="preserve"> </w:t>
      </w:r>
      <w:r>
        <w:rPr>
          <w:rFonts w:hint="eastAsia"/>
        </w:rPr>
        <w:t xml:space="preserve">如果8季度后Base情景所需倍数仍远高于25x，说明价格依赖更远期的增长。</w:t>
      </w:r>
    </w:p>
    <w:bookmarkEnd w:id="14"/>
    <w:bookmarkStart w:id="15" w:name="三情景-bear-base-bull-hypothesis"/>
    <w:p>
      <w:pPr>
        <w:pStyle w:val="Heading2"/>
      </w:pPr>
      <w:r>
        <w:t xml:space="preserve">7. </w:t>
      </w:r>
      <w:r>
        <w:rPr>
          <w:rFonts w:hint="eastAsia"/>
        </w:rPr>
        <w:t xml:space="preserve">三情景</w:t>
      </w:r>
      <w:r>
        <w:t xml:space="preserve">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rFonts w:hint="eastAsia"/>
              </w:rPr>
              <w:t xml:space="preserve">情景</w:t>
            </w:r>
          </w:p>
        </w:tc>
        <w:tc>
          <w:tcPr/>
          <w:p>
            <w:pPr>
              <w:pStyle w:val="Compact"/>
            </w:pPr>
            <w:r>
              <w:rPr>
                <w:rFonts w:hint="eastAsia"/>
              </w:rPr>
              <w:t xml:space="preserve">Y1增速</w:t>
            </w:r>
          </w:p>
        </w:tc>
        <w:tc>
          <w:tcPr/>
          <w:p>
            <w:pPr>
              <w:pStyle w:val="Compact"/>
            </w:pPr>
            <w:r>
              <w:rPr>
                <w:rFonts w:hint="eastAsia"/>
              </w:rPr>
              <w:t xml:space="preserve">长期FCF率</w:t>
            </w:r>
          </w:p>
        </w:tc>
        <w:tc>
          <w:tcPr/>
          <w:p>
            <w:pPr>
              <w:pStyle w:val="Compact"/>
            </w:pPr>
            <w:r>
              <w:t xml:space="preserve">WACC</w:t>
            </w:r>
          </w:p>
        </w:tc>
        <w:tc>
          <w:tcPr/>
          <w:p>
            <w:pPr>
              <w:pStyle w:val="Compact"/>
            </w:pPr>
            <w:r>
              <w:rPr>
                <w:rFonts w:hint="eastAsia"/>
              </w:rPr>
              <w:t xml:space="preserve">永续g</w:t>
            </w:r>
          </w:p>
        </w:tc>
        <w:tc>
          <w:tcPr/>
          <w:p>
            <w:pPr>
              <w:pStyle w:val="Compact"/>
            </w:pPr>
            <w:r>
              <w:rPr>
                <w:rFonts w:hint="eastAsia"/>
              </w:rPr>
              <w:t xml:space="preserve">概率</w:t>
            </w:r>
          </w:p>
        </w:tc>
        <w:tc>
          <w:tcPr/>
          <w:p>
            <w:pPr>
              <w:pStyle w:val="Compact"/>
            </w:pPr>
            <w:r>
              <w:rPr>
                <w:rFonts w:hint="eastAsia"/>
              </w:rPr>
              <w:t xml:space="preserve">每股价值</w:t>
            </w:r>
          </w:p>
        </w:tc>
        <w:tc>
          <w:tcPr/>
          <w:p>
            <w:pPr>
              <w:pStyle w:val="Compact"/>
            </w:pPr>
            <w:r>
              <w:rPr>
                <w:rFonts w:hint="eastAsia"/>
              </w:rPr>
              <w:t xml:space="preserve">相对现价</w:t>
            </w:r>
          </w:p>
        </w:tc>
      </w:tr>
      <w:tr>
        <w:tc>
          <w:tcPr/>
          <w:p>
            <w:pPr>
              <w:pStyle w:val="Compact"/>
            </w:pPr>
            <w:r>
              <w:t xml:space="preserve">Bear</w:t>
            </w:r>
          </w:p>
        </w:tc>
        <w:tc>
          <w:tcPr/>
          <w:p>
            <w:pPr>
              <w:pStyle w:val="Compact"/>
            </w:pPr>
            <w:r>
              <w:t xml:space="preserve">25.1%</w:t>
            </w:r>
          </w:p>
        </w:tc>
        <w:tc>
          <w:tcPr/>
          <w:p>
            <w:pPr>
              <w:pStyle w:val="Compact"/>
            </w:pPr>
            <w:r>
              <w:t xml:space="preserve">36.0%</w:t>
            </w:r>
          </w:p>
        </w:tc>
        <w:tc>
          <w:tcPr/>
          <w:p>
            <w:pPr>
              <w:pStyle w:val="Compact"/>
            </w:pPr>
            <w:r>
              <w:t xml:space="preserve">14.2%</w:t>
            </w:r>
          </w:p>
        </w:tc>
        <w:tc>
          <w:tcPr/>
          <w:p>
            <w:pPr>
              <w:pStyle w:val="Compact"/>
            </w:pPr>
            <w:r>
              <w:t xml:space="preserve">2.5%</w:t>
            </w:r>
          </w:p>
        </w:tc>
        <w:tc>
          <w:tcPr/>
          <w:p>
            <w:pPr>
              <w:pStyle w:val="Compact"/>
            </w:pPr>
            <w:r>
              <w:t xml:space="preserve">25.0%</w:t>
            </w:r>
          </w:p>
        </w:tc>
        <w:tc>
          <w:tcPr/>
          <w:p>
            <w:pPr>
              <w:pStyle w:val="Compact"/>
            </w:pPr>
            <w:r>
              <w:t xml:space="preserve">$23.26</w:t>
            </w:r>
          </w:p>
        </w:tc>
        <w:tc>
          <w:tcPr/>
          <w:p>
            <w:pPr>
              <w:pStyle w:val="Compact"/>
            </w:pPr>
            <w:r>
              <w:t xml:space="preserve">-88.9%</w:t>
            </w:r>
          </w:p>
        </w:tc>
      </w:tr>
      <w:tr>
        <w:tc>
          <w:tcPr/>
          <w:p>
            <w:pPr>
              <w:pStyle w:val="Compact"/>
            </w:pPr>
            <w:r>
              <w:t xml:space="preserve">Base</w:t>
            </w:r>
          </w:p>
        </w:tc>
        <w:tc>
          <w:tcPr/>
          <w:p>
            <w:pPr>
              <w:pStyle w:val="Compact"/>
            </w:pPr>
            <w:r>
              <w:t xml:space="preserve">50.1%</w:t>
            </w:r>
          </w:p>
        </w:tc>
        <w:tc>
          <w:tcPr/>
          <w:p>
            <w:pPr>
              <w:pStyle w:val="Compact"/>
            </w:pPr>
            <w:r>
              <w:t xml:space="preserve">45.0%</w:t>
            </w:r>
          </w:p>
        </w:tc>
        <w:tc>
          <w:tcPr/>
          <w:p>
            <w:pPr>
              <w:pStyle w:val="Compact"/>
            </w:pPr>
            <w:r>
              <w:t xml:space="preserve">13.2%</w:t>
            </w:r>
          </w:p>
        </w:tc>
        <w:tc>
          <w:tcPr/>
          <w:p>
            <w:pPr>
              <w:pStyle w:val="Compact"/>
            </w:pPr>
            <w:r>
              <w:t xml:space="preserve">3.0%</w:t>
            </w:r>
          </w:p>
        </w:tc>
        <w:tc>
          <w:tcPr/>
          <w:p>
            <w:pPr>
              <w:pStyle w:val="Compact"/>
            </w:pPr>
            <w:r>
              <w:t xml:space="preserve">50.0%</w:t>
            </w:r>
          </w:p>
        </w:tc>
        <w:tc>
          <w:tcPr/>
          <w:p>
            <w:pPr>
              <w:pStyle w:val="Compact"/>
            </w:pPr>
            <w:r>
              <w:t xml:space="preserve">$67.43</w:t>
            </w:r>
          </w:p>
        </w:tc>
        <w:tc>
          <w:tcPr/>
          <w:p>
            <w:pPr>
              <w:pStyle w:val="Compact"/>
            </w:pPr>
            <w:r>
              <w:t xml:space="preserve">-67.7%</w:t>
            </w:r>
          </w:p>
        </w:tc>
      </w:tr>
      <w:tr>
        <w:tc>
          <w:tcPr/>
          <w:p>
            <w:pPr>
              <w:pStyle w:val="Compact"/>
            </w:pPr>
            <w:r>
              <w:t xml:space="preserve">Bull</w:t>
            </w:r>
          </w:p>
        </w:tc>
        <w:tc>
          <w:tcPr/>
          <w:p>
            <w:pPr>
              <w:pStyle w:val="Compact"/>
            </w:pPr>
            <w:r>
              <w:t xml:space="preserve">65.2%</w:t>
            </w:r>
          </w:p>
        </w:tc>
        <w:tc>
          <w:tcPr/>
          <w:p>
            <w:pPr>
              <w:pStyle w:val="Compact"/>
            </w:pPr>
            <w:r>
              <w:t xml:space="preserve">51.7%</w:t>
            </w:r>
          </w:p>
        </w:tc>
        <w:tc>
          <w:tcPr/>
          <w:p>
            <w:pPr>
              <w:pStyle w:val="Compact"/>
            </w:pPr>
            <w:r>
              <w:t xml:space="preserve">12.7%</w:t>
            </w:r>
          </w:p>
        </w:tc>
        <w:tc>
          <w:tcPr/>
          <w:p>
            <w:pPr>
              <w:pStyle w:val="Compact"/>
            </w:pPr>
            <w:r>
              <w:t xml:space="preserve">3.5%</w:t>
            </w:r>
          </w:p>
        </w:tc>
        <w:tc>
          <w:tcPr/>
          <w:p>
            <w:pPr>
              <w:pStyle w:val="Compact"/>
            </w:pPr>
            <w:r>
              <w:t xml:space="preserve">25.0%</w:t>
            </w:r>
          </w:p>
        </w:tc>
        <w:tc>
          <w:tcPr/>
          <w:p>
            <w:pPr>
              <w:pStyle w:val="Compact"/>
            </w:pPr>
            <w:r>
              <w:t xml:space="preserve">$135.60</w:t>
            </w:r>
          </w:p>
        </w:tc>
        <w:tc>
          <w:tcPr/>
          <w:p>
            <w:pPr>
              <w:pStyle w:val="Compact"/>
            </w:pPr>
            <w:r>
              <w:t xml:space="preserve">-35.0%</w:t>
            </w:r>
          </w:p>
        </w:tc>
      </w:tr>
    </w:tbl>
    <w:p>
      <w:pPr>
        <w:pStyle w:val="BodyText"/>
      </w:pPr>
      <w:r>
        <w:rPr>
          <w:rFonts w:hint="eastAsia"/>
        </w:rPr>
        <w:t xml:space="preserve">概率加权价值</w:t>
      </w:r>
      <w:r>
        <w:t xml:space="preserve"> </w:t>
      </w:r>
      <w:r>
        <w:rPr>
          <w:b/>
          <w:bCs/>
        </w:rPr>
        <w:t xml:space="preserve">$73.43</w:t>
      </w:r>
      <w:r>
        <w:rPr>
          <w:rFonts w:hint="eastAsia"/>
        </w:rPr>
        <w:t xml:space="preserve">（相对现价</w:t>
      </w:r>
      <w:r>
        <w:t xml:space="preserve"> </w:t>
      </w:r>
      <w:r>
        <w:rPr>
          <w:rFonts w:hint="eastAsia"/>
        </w:rPr>
        <w:t xml:space="preserve">-64.8%）。</w:t>
      </w:r>
    </w:p>
    <w:bookmarkEnd w:id="15"/>
    <w:bookmarkStart w:id="16" w:name="估值-dcf-reverse-dcf-roic-wacc-同业-敏感度"/>
    <w:p>
      <w:pPr>
        <w:pStyle w:val="Heading2"/>
      </w:pPr>
      <w:r>
        <w:t xml:space="preserve">8. </w:t>
      </w:r>
      <w:r>
        <w:rPr>
          <w:rFonts w:hint="eastAsia"/>
        </w:rPr>
        <w:t xml:space="preserve">估值:</w:t>
      </w:r>
      <w:r>
        <w:t xml:space="preserve"> DCF / Reverse DCF / ROIC-WACC / </w:t>
      </w:r>
      <w:r>
        <w:rPr>
          <w:rFonts w:hint="eastAsia"/>
        </w:rPr>
        <w:t xml:space="preserve">同业</w:t>
      </w:r>
      <w:r>
        <w:t xml:space="preserve"> / </w:t>
      </w:r>
      <w:r>
        <w:rPr>
          <w:rFonts w:hint="eastAsia"/>
        </w:rPr>
        <w:t xml:space="preserve">敏感度</w:t>
      </w:r>
    </w:p>
    <w:p>
      <w:pPr>
        <w:numPr>
          <w:ilvl w:val="0"/>
          <w:numId w:val="1005"/>
        </w:numPr>
      </w:pPr>
      <w:r>
        <w:t xml:space="preserve">DCF Base: EV 152.8 bn </w:t>
      </w:r>
      <w:r>
        <w:rPr>
          <w:rFonts w:hint="eastAsia"/>
        </w:rPr>
        <w:t xml:space="preserve">USD；终值占比</w:t>
      </w:r>
      <w:r>
        <w:t xml:space="preserve"> 51.6%。</w:t>
      </w:r>
    </w:p>
    <w:p>
      <w:pPr>
        <w:numPr>
          <w:ilvl w:val="0"/>
          <w:numId w:val="1005"/>
        </w:numPr>
      </w:pPr>
      <w:r>
        <w:rPr>
          <w:b/>
          <w:bCs/>
        </w:rPr>
        <w:t xml:space="preserve">Reverse DCF </w:t>
      </w:r>
      <w:r>
        <w:rPr>
          <w:rFonts w:hint="eastAsia"/>
          <w:b/>
          <w:bCs/>
        </w:rPr>
        <w:t xml:space="preserve">反向DCF</w:t>
      </w:r>
      <w:r>
        <w:t xml:space="preserve">: </w:t>
      </w:r>
      <w:r>
        <w:rPr>
          <w:rFonts w:hint="eastAsia"/>
        </w:rPr>
        <w:t xml:space="preserve">在Base利润率与WACC下，现价隐含Y1收入增速</w:t>
      </w:r>
      <w:r>
        <w:t xml:space="preserve"> ≈</w:t>
      </w:r>
      <w:r>
        <w:t xml:space="preserve"> </w:t>
      </w:r>
      <w:r>
        <w:rPr>
          <w:b/>
          <w:bCs/>
        </w:rPr>
        <w:t xml:space="preserve">88.0%</w:t>
      </w:r>
      <w:r>
        <w:rPr>
          <w:rFonts w:hint="eastAsia"/>
        </w:rPr>
        <w:t xml:space="preserve">；一致预期FY+1增速</w:t>
      </w:r>
      <w:r>
        <w:t xml:space="preserve"> 50.1%。</w:t>
      </w:r>
    </w:p>
    <w:p>
      <w:pPr>
        <w:numPr>
          <w:ilvl w:val="0"/>
          <w:numId w:val="1005"/>
        </w:numPr>
      </w:pPr>
      <w:r>
        <w:t xml:space="preserve">WACC (CAPM) = rf 5.2% + β 1.60 × ERP 5.0% = 13.2%。</w:t>
      </w:r>
    </w:p>
    <w:p>
      <w:pPr>
        <w:numPr>
          <w:ilvl w:val="0"/>
          <w:numId w:val="1005"/>
        </w:numPr>
      </w:pPr>
      <w:r>
        <w:t xml:space="preserve">SOTP segments </w:t>
      </w:r>
      <w:r>
        <w:rPr>
          <w:rFonts w:hint="eastAsia"/>
        </w:rPr>
        <w:t xml:space="preserve">分部:</w:t>
      </w:r>
      <w:r>
        <w:t xml:space="preserve"> US Government </w:t>
      </w:r>
      <w:r>
        <w:rPr>
          <w:rFonts w:hint="eastAsia"/>
        </w:rPr>
        <w:t xml:space="preserve">美国政府;</w:t>
      </w:r>
      <w:r>
        <w:t xml:space="preserve"> US Commercial </w:t>
      </w:r>
      <w:r>
        <w:rPr>
          <w:rFonts w:hint="eastAsia"/>
        </w:rPr>
        <w:t xml:space="preserve">美国商业;</w:t>
      </w:r>
      <w:r>
        <w:t xml:space="preserve"> International </w:t>
      </w:r>
      <w:r>
        <w:rPr>
          <w:rFonts w:hint="eastAsia"/>
        </w:rPr>
        <w:t xml:space="preserve">国际.</w:t>
      </w:r>
      <w:r>
        <w:t xml:space="preserve"> </w:t>
      </w:r>
      <w:r>
        <w:rPr>
          <w:b/>
          <w:bCs/>
        </w:rPr>
        <w:t xml:space="preserve">Status: framework only</w:t>
      </w:r>
      <w:r>
        <w:t xml:space="preserve"> </w:t>
      </w:r>
      <w:r>
        <w:t xml:space="preserve">— segment revenues are INPUT REQUIRED from the latest 10-K/10-Q segment note (not auto-fed, left blank to avoid </w:t>
      </w:r>
      <w:r>
        <w:rPr>
          <w:rFonts w:hint="eastAsia"/>
        </w:rPr>
        <w:t xml:space="preserve">fabrication)｜分部收入需按最新财报手动录入，未自动填充以避免编造。</w:t>
      </w:r>
    </w:p>
    <w:p>
      <w:pPr>
        <w:numPr>
          <w:ilvl w:val="0"/>
          <w:numId w:val="1005"/>
        </w:numPr>
      </w:pPr>
      <w:r>
        <w:rPr>
          <w:rFonts w:hint="eastAsia"/>
        </w:rPr>
        <w:t xml:space="preserve">同业比较</w:t>
      </w:r>
      <w:r>
        <w:t xml:space="preserve"> Comps (DATA):</w:t>
      </w:r>
      <w:r>
        <w:t xml:space="preserve"> </w:t>
      </w:r>
      <w:r>
        <w:t xml:space="preserve">| Ticker | </w:t>
      </w:r>
      <w:r>
        <w:rPr>
          <w:rFonts w:hint="eastAsia"/>
        </w:rPr>
        <w:t xml:space="preserve">市值</w:t>
      </w:r>
      <w:r>
        <w:t xml:space="preserve"> | EV/Sales | Fwd P/E | </w:t>
      </w:r>
      <w:r>
        <w:rPr>
          <w:rFonts w:hint="eastAsia"/>
        </w:rPr>
        <w:t xml:space="preserve">收入增速</w:t>
      </w:r>
      <w:r>
        <w:t xml:space="preserve"> | </w:t>
      </w:r>
      <w:r>
        <w:rPr>
          <w:rFonts w:hint="eastAsia"/>
        </w:rPr>
        <w:t xml:space="preserve">毛利率</w:t>
      </w:r>
      <w:r>
        <w:t xml:space="preserve"> | </w:t>
      </w:r>
      <w:r>
        <w:rPr>
          <w:rFonts w:hint="eastAsia"/>
        </w:rPr>
        <w:t xml:space="preserve">FCF收益率</w:t>
      </w:r>
      <w:r>
        <w:t xml:space="preserve"> |</w:t>
      </w:r>
      <w:r>
        <w:t xml:space="preserve"> </w:t>
      </w:r>
      <w:r>
        <w:t xml:space="preserve">|—|—|—|—|—|—|—|</w:t>
      </w:r>
      <w:r>
        <w:t xml:space="preserve"> </w:t>
      </w:r>
      <w:r>
        <w:t xml:space="preserve">| PLTR | 501.4 bn USD | 80.0x | 88.7x | 92.8% | 84.8% | 0.7% |</w:t>
      </w:r>
      <w:r>
        <w:t xml:space="preserve"> </w:t>
      </w:r>
      <w:r>
        <w:t xml:space="preserve">| CRWD | 267.5 bn USD | 48.8x | 162.7x | 25.8% | 75.2% | 0.7% |</w:t>
      </w:r>
      <w:r>
        <w:t xml:space="preserve"> </w:t>
      </w:r>
      <w:r>
        <w:t xml:space="preserve">| SNOW | 126.2 bn USD | 23.3x | 119.0x | 35.1% | 67.0% | 1.4% |</w:t>
      </w:r>
      <w:r>
        <w:t xml:space="preserve"> </w:t>
      </w:r>
      <w:r>
        <w:t xml:space="preserve">| NOW | 143.3 bn USD | 10.0x | 27.7x | 24.0% | 74.8% | 3.6% |</w:t>
      </w:r>
      <w:r>
        <w:t xml:space="preserve"> </w:t>
      </w:r>
      <w:r>
        <w:t xml:space="preserve">| DDOG | 101.7 bn USD | 24.7x | 95.3x | 35.6% | 79.5% | 1.0% |</w:t>
      </w:r>
    </w:p>
    <w:p>
      <w:pPr>
        <w:numPr>
          <w:ilvl w:val="0"/>
          <w:numId w:val="1005"/>
        </w:numPr>
      </w:pPr>
      <w:r>
        <w:rPr>
          <w:rFonts w:hint="eastAsia"/>
        </w:rPr>
        <w:t xml:space="preserve">敏感度:</w:t>
      </w:r>
      <w:r>
        <w:t xml:space="preserve"> </w:t>
      </w:r>
      <w:r>
        <w:rPr>
          <w:rFonts w:hint="eastAsia"/>
        </w:rPr>
        <w:t xml:space="preserve">见Excel</w:t>
      </w:r>
      <w:r>
        <w:t xml:space="preserve"> </w:t>
      </w:r>
      <w:r>
        <w:rPr>
          <w:rStyle w:val="VerbatimChar"/>
        </w:rPr>
        <w:t xml:space="preserve">Sensitivity</w:t>
      </w:r>
      <w:r>
        <w:t xml:space="preserve"> </w:t>
      </w:r>
      <w:r>
        <w:rPr>
          <w:rFonts w:hint="eastAsia"/>
        </w:rPr>
        <w:t xml:space="preserve">表</w:t>
      </w:r>
      <w:r>
        <w:t xml:space="preserve"> (WACC × </w:t>
      </w:r>
      <w:r>
        <w:rPr>
          <w:rFonts w:hint="eastAsia"/>
        </w:rPr>
        <w:t xml:space="preserve">永续增长率)。</w:t>
      </w:r>
    </w:p>
    <w:bookmarkEnd w:id="16"/>
    <w:bookmarkStart w:id="17" w:name="风险反方论证与证伪"/>
    <w:p>
      <w:pPr>
        <w:pStyle w:val="Heading2"/>
      </w:pPr>
      <w:r>
        <w:t xml:space="preserve">9. </w:t>
      </w:r>
      <w:r>
        <w:rPr>
          <w:rFonts w:hint="eastAsia"/>
        </w:rPr>
        <w:t xml:space="preserve">风险、反方论证与证伪</w:t>
      </w:r>
    </w:p>
    <w:p>
      <w:pPr>
        <w:pStyle w:val="Compact"/>
        <w:numPr>
          <w:ilvl w:val="0"/>
          <w:numId w:val="1006"/>
        </w:numPr>
      </w:pPr>
      <w:r>
        <w:rPr>
          <w:rFonts w:hint="eastAsia"/>
        </w:rPr>
        <w:t xml:space="preserve">反方观点</w:t>
      </w:r>
      <w:r>
        <w:t xml:space="preserve"> Counter-thesis: Multiple compression; gov budget delays (shutdown/CR); </w:t>
      </w:r>
      <w:r>
        <w:rPr>
          <w:rFonts w:hint="eastAsia"/>
        </w:rPr>
        <w:t xml:space="preserve">competition｜估值压缩；政府预算延迟；竞争</w:t>
      </w:r>
    </w:p>
    <w:p>
      <w:pPr>
        <w:pStyle w:val="Compact"/>
        <w:numPr>
          <w:ilvl w:val="0"/>
          <w:numId w:val="1006"/>
        </w:numPr>
      </w:pPr>
      <w:r>
        <w:rPr>
          <w:rFonts w:hint="eastAsia"/>
        </w:rPr>
        <w:t xml:space="preserve">证伪指标:</w:t>
      </w:r>
      <w:r>
        <w:t xml:space="preserve"> US commercial growth decelerates sharply; net dollar retention falls; RPO </w:t>
      </w:r>
      <w:r>
        <w:rPr>
          <w:rFonts w:hint="eastAsia"/>
        </w:rPr>
        <w:t xml:space="preserve">stalls｜美国商业增速骤降；净留存率下降；RPO停滞</w:t>
      </w:r>
    </w:p>
    <w:p>
      <w:pPr>
        <w:pStyle w:val="Compact"/>
        <w:numPr>
          <w:ilvl w:val="0"/>
          <w:numId w:val="1006"/>
        </w:numPr>
      </w:pPr>
      <w:r>
        <w:rPr>
          <w:rFonts w:hint="eastAsia"/>
        </w:rPr>
        <w:t xml:space="preserve">模型风险:</w:t>
      </w:r>
      <w:r>
        <w:t xml:space="preserve"> </w:t>
      </w:r>
      <w:r>
        <w:rPr>
          <w:rFonts w:hint="eastAsia"/>
        </w:rPr>
        <w:t xml:space="preserve">长期利润率与WACC为假设；终值占比高时估值对假设极敏感。</w:t>
      </w:r>
    </w:p>
    <w:bookmarkEnd w:id="17"/>
    <w:bookmarkStart w:id="18" w:name="source-ledger-来源账本"/>
    <w:p>
      <w:pPr>
        <w:pStyle w:val="Heading2"/>
      </w:pPr>
      <w:r>
        <w:t xml:space="preserve">10. Source Ledger </w:t>
      </w:r>
      <w:r>
        <w:rPr>
          <w:rFonts w:hint="eastAsia"/>
        </w:rPr>
        <w:t xml:space="preserve">来源账本</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Value</w:t>
            </w:r>
          </w:p>
        </w:tc>
        <w:tc>
          <w:tcPr/>
          <w:p>
            <w:pPr>
              <w:pStyle w:val="Compact"/>
            </w:pPr>
            <w:r>
              <w:t xml:space="preserve">Source/time</w:t>
            </w:r>
          </w:p>
        </w:tc>
      </w:tr>
      <w:tr>
        <w:tc>
          <w:tcPr/>
          <w:p>
            <w:pPr>
              <w:pStyle w:val="Compact"/>
            </w:pPr>
            <w:r>
              <w:t xml:space="preserve">Price </w:t>
            </w:r>
            <w:r>
              <w:rPr>
                <w:rFonts w:hint="eastAsia"/>
              </w:rPr>
              <w:t xml:space="preserve">股价</w:t>
            </w:r>
          </w:p>
        </w:tc>
        <w:tc>
          <w:tcPr/>
          <w:p>
            <w:pPr>
              <w:pStyle w:val="Compact"/>
            </w:pPr>
            <w:r>
              <w:t xml:space="preserve">208.7</w:t>
            </w:r>
          </w:p>
        </w:tc>
        <w:tc>
          <w:tcPr/>
          <w:p>
            <w:pPr>
              <w:pStyle w:val="Compact"/>
            </w:pPr>
            <w:r>
              <w:t xml:space="preserve">Yahoo Finance quote, fetched 2026-10-14T07:58 SGT</w:t>
            </w:r>
          </w:p>
        </w:tc>
      </w:tr>
      <w:tr>
        <w:tc>
          <w:tcPr/>
          <w:p>
            <w:pPr>
              <w:pStyle w:val="Compact"/>
            </w:pPr>
            <w:r>
              <w:t xml:space="preserve">Market cap </w:t>
            </w:r>
            <w:r>
              <w:rPr>
                <w:rFonts w:hint="eastAsia"/>
              </w:rPr>
              <w:t xml:space="preserve">市值</w:t>
            </w:r>
          </w:p>
        </w:tc>
        <w:tc>
          <w:tcPr/>
          <w:p>
            <w:pPr>
              <w:pStyle w:val="Compact"/>
            </w:pPr>
            <w:r>
              <w:t xml:space="preserve">5.014e+11</w:t>
            </w:r>
          </w:p>
        </w:tc>
        <w:tc>
          <w:tcPr/>
          <w:p>
            <w:pPr>
              <w:pStyle w:val="Compact"/>
            </w:pPr>
            <w:r>
              <w:t xml:space="preserve">Yahoo info.marketCap 2026-10-14T07:58</w:t>
            </w:r>
          </w:p>
        </w:tc>
      </w:tr>
      <w:tr>
        <w:tc>
          <w:tcPr/>
          <w:p>
            <w:pPr>
              <w:pStyle w:val="Compact"/>
            </w:pPr>
            <w:r>
              <w:t xml:space="preserve">Cash </w:t>
            </w:r>
            <w:r>
              <w:rPr>
                <w:rFonts w:hint="eastAsia"/>
              </w:rPr>
              <w:t xml:space="preserve">现金</w:t>
            </w:r>
          </w:p>
        </w:tc>
        <w:tc>
          <w:tcPr/>
          <w:p>
            <w:pPr>
              <w:pStyle w:val="Compact"/>
            </w:pPr>
            <w:r>
              <w:t xml:space="preserve">9.409e+09</w:t>
            </w:r>
          </w:p>
        </w:tc>
        <w:tc>
          <w:tcPr/>
          <w:p>
            <w:pPr>
              <w:pStyle w:val="Compact"/>
            </w:pPr>
            <w:r>
              <w:t xml:space="preserve">Yahoo info.totalCash (latest filing) 2026-10-14T07:58</w:t>
            </w:r>
          </w:p>
        </w:tc>
      </w:tr>
      <w:tr>
        <w:tc>
          <w:tcPr/>
          <w:p>
            <w:pPr>
              <w:pStyle w:val="Compact"/>
            </w:pPr>
            <w:r>
              <w:t xml:space="preserve">Debt </w:t>
            </w:r>
            <w:r>
              <w:rPr>
                <w:rFonts w:hint="eastAsia"/>
              </w:rPr>
              <w:t xml:space="preserve">负债</w:t>
            </w:r>
          </w:p>
        </w:tc>
        <w:tc>
          <w:tcPr/>
          <w:p>
            <w:pPr>
              <w:pStyle w:val="Compact"/>
            </w:pPr>
            <w:r>
              <w:t xml:space="preserve">2.114e+08</w:t>
            </w:r>
          </w:p>
        </w:tc>
        <w:tc>
          <w:tcPr/>
          <w:p>
            <w:pPr>
              <w:pStyle w:val="Compact"/>
            </w:pPr>
            <w:r>
              <w:t xml:space="preserve">Yahoo info.totalDebt (latest filing) 2026-10-14T07:58</w:t>
            </w:r>
          </w:p>
        </w:tc>
      </w:tr>
      <w:tr>
        <w:tc>
          <w:tcPr/>
          <w:p>
            <w:pPr>
              <w:pStyle w:val="Compact"/>
            </w:pPr>
            <w:r>
              <w:t xml:space="preserve">Revenue TTM </w:t>
            </w:r>
            <w:r>
              <w:rPr>
                <w:rFonts w:hint="eastAsia"/>
              </w:rPr>
              <w:t xml:space="preserve">收入</w:t>
            </w:r>
          </w:p>
        </w:tc>
        <w:tc>
          <w:tcPr/>
          <w:p>
            <w:pPr>
              <w:pStyle w:val="Compact"/>
            </w:pPr>
            <w:r>
              <w:t xml:space="preserve">6.156e+09</w:t>
            </w:r>
          </w:p>
        </w:tc>
        <w:tc>
          <w:tcPr/>
          <w:p>
            <w:pPr>
              <w:pStyle w:val="Compact"/>
            </w:pPr>
            <w:r>
              <w:t xml:space="preserve">Yahoo info.totalRevenue (TTM, USD) 2026-10-14T07:58</w:t>
            </w:r>
          </w:p>
        </w:tc>
      </w:tr>
      <w:tr>
        <w:tc>
          <w:tcPr/>
          <w:p>
            <w:pPr>
              <w:pStyle w:val="Compact"/>
            </w:pPr>
            <w:r>
              <w:t xml:space="preserve">FCF TTM </w:t>
            </w:r>
            <w:r>
              <w:rPr>
                <w:rFonts w:hint="eastAsia"/>
              </w:rPr>
              <w:t xml:space="preserve">自由现金流</w:t>
            </w:r>
          </w:p>
        </w:tc>
        <w:tc>
          <w:tcPr/>
          <w:p>
            <w:pPr>
              <w:pStyle w:val="Compact"/>
            </w:pPr>
            <w:r>
              <w:t xml:space="preserve">3.358e+09</w:t>
            </w:r>
          </w:p>
        </w:tc>
        <w:tc>
          <w:tcPr/>
          <w:p>
            <w:pPr>
              <w:pStyle w:val="Compact"/>
            </w:pPr>
            <w:r>
              <w:t xml:space="preserve">Sum of last 4 quarterly FCF (q_cash); quarters [</w:t>
            </w:r>
            <w:r>
              <w:t xml:space="preserve">‘2026-06-30’</w:t>
            </w:r>
            <w:r>
              <w:t xml:space="preserve">,</w:t>
            </w:r>
            <w:r>
              <w:t xml:space="preserve"> </w:t>
            </w:r>
            <w:r>
              <w:t xml:space="preserve">‘2026-03-31’</w:t>
            </w:r>
            <w:r>
              <w:t xml:space="preserve">,</w:t>
            </w:r>
            <w:r>
              <w:t xml:space="preserve"> </w:t>
            </w:r>
            <w:r>
              <w:t xml:space="preserve">‘2025-12-31’</w:t>
            </w:r>
            <w:r>
              <w:t xml:space="preserve">,</w:t>
            </w:r>
            <w:r>
              <w:t xml:space="preserve"> </w:t>
            </w:r>
            <w:r>
              <w:t xml:space="preserve">‘2025-09-30’</w:t>
            </w:r>
            <w:r>
              <w:t xml:space="preserve">] (USD)</w:t>
            </w:r>
          </w:p>
        </w:tc>
      </w:tr>
      <w:tr>
        <w:tc>
          <w:tcPr/>
          <w:p>
            <w:pPr>
              <w:pStyle w:val="Compact"/>
            </w:pPr>
            <w:r>
              <w:t xml:space="preserve">Beta</w:t>
            </w:r>
          </w:p>
        </w:tc>
        <w:tc>
          <w:tcPr/>
          <w:p>
            <w:pPr>
              <w:pStyle w:val="Compact"/>
            </w:pPr>
            <w:r>
              <w:t xml:space="preserve">1.602</w:t>
            </w:r>
          </w:p>
        </w:tc>
        <w:tc>
          <w:tcPr/>
          <w:p>
            <w:pPr>
              <w:pStyle w:val="Compact"/>
            </w:pPr>
            <w:r>
              <w:t xml:space="preserve">Yahoo info.beta (5Y monthly)</w:t>
            </w:r>
          </w:p>
        </w:tc>
      </w:tr>
      <w:tr>
        <w:tc>
          <w:tcPr/>
          <w:p>
            <w:pPr>
              <w:pStyle w:val="Compact"/>
            </w:pPr>
            <w:r>
              <w:t xml:space="preserve">Risk-free 10Y </w:t>
            </w:r>
            <w:r>
              <w:rPr>
                <w:rFonts w:hint="eastAsia"/>
              </w:rPr>
              <w:t xml:space="preserve">无风险利率</w:t>
            </w:r>
          </w:p>
        </w:tc>
        <w:tc>
          <w:tcPr/>
          <w:p>
            <w:pPr>
              <w:pStyle w:val="Compact"/>
            </w:pPr>
            <w:r>
              <w:t xml:space="preserve">0.0524</w:t>
            </w:r>
          </w:p>
        </w:tc>
        <w:tc>
          <w:tcPr/>
          <w:p>
            <w:pPr>
              <w:pStyle w:val="Compact"/>
            </w:pPr>
            <w:r>
              <w:t xml:space="preserve">FRED DGS10 2026-10-09</w:t>
            </w:r>
          </w:p>
        </w:tc>
      </w:tr>
      <w:tr>
        <w:tc>
          <w:tcPr/>
          <w:p>
            <w:pPr>
              <w:pStyle w:val="Compact"/>
            </w:pPr>
            <w:r>
              <w:t xml:space="preserve">FX USD per USD</w:t>
            </w:r>
          </w:p>
        </w:tc>
        <w:tc>
          <w:tcPr/>
          <w:p>
            <w:pPr>
              <w:pStyle w:val="Compact"/>
            </w:pPr>
            <w:r>
              <w:t xml:space="preserve">1</w:t>
            </w:r>
          </w:p>
        </w:tc>
        <w:tc>
          <w:tcPr/>
          <w:p>
            <w:pPr>
              <w:pStyle w:val="Compact"/>
            </w:pPr>
            <w:r>
              <w:t xml:space="preserve">n/a (USD)</w:t>
            </w:r>
          </w:p>
        </w:tc>
      </w:tr>
      <w:tr>
        <w:tc>
          <w:tcPr/>
          <w:p>
            <w:pPr>
              <w:pStyle w:val="Compact"/>
            </w:pPr>
            <w:r>
              <w:t xml:space="preserve">Consensus rev growth FY0</w:t>
            </w:r>
          </w:p>
        </w:tc>
        <w:tc>
          <w:tcPr/>
          <w:p>
            <w:pPr>
              <w:pStyle w:val="Compact"/>
            </w:pPr>
            <w:r>
              <w:t xml:space="preserve">0.8356</w:t>
            </w:r>
          </w:p>
        </w:tc>
        <w:tc>
          <w:tcPr/>
          <w:p>
            <w:pPr>
              <w:pStyle w:val="Compact"/>
            </w:pPr>
            <w:r>
              <w:t xml:space="preserve">Yahoo revenue_estimate 0y</w:t>
            </w:r>
          </w:p>
        </w:tc>
      </w:tr>
      <w:tr>
        <w:tc>
          <w:tcPr/>
          <w:p>
            <w:pPr>
              <w:pStyle w:val="Compact"/>
            </w:pPr>
            <w:r>
              <w:t xml:space="preserve">Consensus rev growth FY+1</w:t>
            </w:r>
          </w:p>
        </w:tc>
        <w:tc>
          <w:tcPr/>
          <w:p>
            <w:pPr>
              <w:pStyle w:val="Compact"/>
            </w:pPr>
            <w:r>
              <w:t xml:space="preserve">0.5012</w:t>
            </w:r>
          </w:p>
        </w:tc>
        <w:tc>
          <w:tcPr/>
          <w:p>
            <w:pPr>
              <w:pStyle w:val="Compact"/>
            </w:pPr>
            <w:r>
              <w:t xml:space="preserve">Yahoo revenue_estimate +1y</w:t>
            </w:r>
          </w:p>
        </w:tc>
      </w:tr>
    </w:tbl>
    <w:bookmarkEnd w:id="18"/>
    <w:bookmarkStart w:id="19" w:name="assumption-register-假设登记表"/>
    <w:p>
      <w:pPr>
        <w:pStyle w:val="Heading2"/>
      </w:pPr>
      <w:r>
        <w:t xml:space="preserve">11. Assumption Register </w:t>
      </w:r>
      <w:r>
        <w:rPr>
          <w:rFonts w:hint="eastAsia"/>
        </w:rPr>
        <w:t xml:space="preserve">假设登记表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Assumption</w:t>
            </w:r>
          </w:p>
        </w:tc>
        <w:tc>
          <w:tcPr/>
          <w:p>
            <w:pPr>
              <w:pStyle w:val="Compact"/>
            </w:pPr>
            <w:r>
              <w:t xml:space="preserve">Value</w:t>
            </w:r>
          </w:p>
        </w:tc>
        <w:tc>
          <w:tcPr/>
          <w:p>
            <w:pPr>
              <w:pStyle w:val="Compact"/>
            </w:pPr>
            <w:r>
              <w:t xml:space="preserve">Rationale</w:t>
            </w:r>
          </w:p>
        </w:tc>
      </w:tr>
      <w:tr>
        <w:tc>
          <w:tcPr/>
          <w:p>
            <w:pPr>
              <w:pStyle w:val="Compact"/>
            </w:pPr>
            <w:r>
              <w:t xml:space="preserve">ERP </w:t>
            </w:r>
            <w:r>
              <w:rPr>
                <w:rFonts w:hint="eastAsia"/>
              </w:rPr>
              <w:t xml:space="preserve">股权风险溢价</w:t>
            </w:r>
          </w:p>
        </w:tc>
        <w:tc>
          <w:tcPr/>
          <w:p>
            <w:pPr>
              <w:pStyle w:val="Compact"/>
            </w:pPr>
            <w:r>
              <w:t xml:space="preserve">0.05</w:t>
            </w:r>
          </w:p>
        </w:tc>
        <w:tc>
          <w:tcPr/>
          <w:p>
            <w:pPr>
              <w:pStyle w:val="Compact"/>
            </w:pPr>
            <w:r>
              <w:t xml:space="preserve">ASSUMPTION: 5.0% house mature-market ERP</w:t>
            </w:r>
          </w:p>
        </w:tc>
      </w:tr>
      <w:tr>
        <w:tc>
          <w:tcPr/>
          <w:p>
            <w:pPr>
              <w:pStyle w:val="Compact"/>
            </w:pPr>
            <w:r>
              <w:t xml:space="preserve">Beta clamp</w:t>
            </w:r>
          </w:p>
        </w:tc>
        <w:tc>
          <w:tcPr/>
          <w:p>
            <w:pPr>
              <w:pStyle w:val="Compact"/>
            </w:pPr>
            <w:r>
              <w:t xml:space="preserve">[0.8,1.6] → 1.60</w:t>
            </w:r>
          </w:p>
        </w:tc>
        <w:tc>
          <w:tcPr/>
          <w:p>
            <w:pPr>
              <w:pStyle w:val="Compact"/>
            </w:pPr>
            <w:r>
              <w:t xml:space="preserve">ASSUMPTION: limit extreme betas</w:t>
            </w:r>
          </w:p>
        </w:tc>
      </w:tr>
      <w:tr>
        <w:tc>
          <w:tcPr/>
          <w:p>
            <w:pPr>
              <w:pStyle w:val="Compact"/>
            </w:pPr>
            <w:r>
              <w:t xml:space="preserve">Tax rate (ROIC)</w:t>
            </w:r>
          </w:p>
        </w:tc>
        <w:tc>
          <w:tcPr/>
          <w:p>
            <w:pPr>
              <w:pStyle w:val="Compact"/>
            </w:pPr>
            <w:r>
              <w:t xml:space="preserve">0.18</w:t>
            </w:r>
          </w:p>
        </w:tc>
        <w:tc>
          <w:tcPr/>
          <w:p>
            <w:pPr>
              <w:pStyle w:val="Compact"/>
            </w:pPr>
            <w:r>
              <w:t xml:space="preserve">ASSUMPTION: blended cash tax 18%</w:t>
            </w:r>
          </w:p>
        </w:tc>
      </w:tr>
      <w:tr>
        <w:tc>
          <w:tcPr/>
          <w:p>
            <w:pPr>
              <w:pStyle w:val="Compact"/>
            </w:pPr>
            <w:r>
              <w:t xml:space="preserve">Year-1 growth (Base)</w:t>
            </w:r>
          </w:p>
        </w:tc>
        <w:tc>
          <w:tcPr/>
          <w:p>
            <w:pPr>
              <w:pStyle w:val="Compact"/>
            </w:pPr>
            <w:r>
              <w:t xml:space="preserve">0.5012</w:t>
            </w:r>
          </w:p>
        </w:tc>
        <w:tc>
          <w:tcPr/>
          <w:p>
            <w:pPr>
              <w:pStyle w:val="Compact"/>
            </w:pPr>
            <w:r>
              <w:t xml:space="preserve">Consensus FY+1 revenue growth (Yahoo revenue_estimate</w:t>
            </w:r>
            <w:r>
              <w:t xml:space="preserve"> </w:t>
            </w:r>
            <w:r>
              <w:t xml:space="preserve">‘+1y’</w:t>
            </w:r>
            <w:r>
              <w:t xml:space="preserve">); capped at 100%</w:t>
            </w:r>
          </w:p>
        </w:tc>
      </w:tr>
      <w:tr>
        <w:tc>
          <w:tcPr/>
          <w:p>
            <w:pPr>
              <w:pStyle w:val="Compact"/>
            </w:pPr>
            <w:r>
              <w:t xml:space="preserve">Growth fade</w:t>
            </w:r>
          </w:p>
        </w:tc>
        <w:tc>
          <w:tcPr/>
          <w:p>
            <w:pPr>
              <w:pStyle w:val="Compact"/>
            </w:pPr>
            <w:r>
              <w:t xml:space="preserve">linear Y1→terminal by Y10</w:t>
            </w:r>
          </w:p>
        </w:tc>
        <w:tc>
          <w:tcPr/>
          <w:p>
            <w:pPr>
              <w:pStyle w:val="Compact"/>
            </w:pPr>
            <w:r>
              <w:t xml:space="preserve">ASSUMPTION</w:t>
            </w:r>
          </w:p>
        </w:tc>
      </w:tr>
      <w:tr>
        <w:tc>
          <w:tcPr/>
          <w:p>
            <w:pPr>
              <w:pStyle w:val="Compact"/>
            </w:pPr>
            <w:r>
              <w:t xml:space="preserve">Starting FCF margin</w:t>
            </w:r>
          </w:p>
        </w:tc>
        <w:tc>
          <w:tcPr/>
          <w:p>
            <w:pPr>
              <w:pStyle w:val="Compact"/>
            </w:pPr>
            <w:r>
              <w:t xml:space="preserve">0.5455</w:t>
            </w:r>
          </w:p>
        </w:tc>
        <w:tc>
          <w:tcPr/>
          <w:p>
            <w:pPr>
              <w:pStyle w:val="Compact"/>
            </w:pPr>
            <w:r>
              <w:t xml:space="preserve">DATA: FCF TTM / Revenue TTM, floored -50%</w:t>
            </w:r>
          </w:p>
        </w:tc>
      </w:tr>
      <w:tr>
        <w:tc>
          <w:tcPr/>
          <w:p>
            <w:pPr>
              <w:pStyle w:val="Compact"/>
            </w:pPr>
            <w:r>
              <w:t xml:space="preserve">Long-run FCF margin (Base)</w:t>
            </w:r>
          </w:p>
        </w:tc>
        <w:tc>
          <w:tcPr/>
          <w:p>
            <w:pPr>
              <w:pStyle w:val="Compact"/>
            </w:pPr>
            <w:r>
              <w:t xml:space="preserve">0.45</w:t>
            </w:r>
          </w:p>
        </w:tc>
        <w:tc>
          <w:tcPr/>
          <w:p>
            <w:pPr>
              <w:pStyle w:val="Compact"/>
            </w:pPr>
            <w:r>
              <w:t xml:space="preserve">ASSUMPTION (analyst framework, reached by Y5; see profile)</w:t>
            </w:r>
          </w:p>
        </w:tc>
      </w:tr>
      <w:tr>
        <w:tc>
          <w:tcPr/>
          <w:p>
            <w:pPr>
              <w:pStyle w:val="Compact"/>
            </w:pPr>
            <w:r>
              <w:t xml:space="preserve">Bear/Bull Y1 growth multiplier</w:t>
            </w:r>
          </w:p>
        </w:tc>
        <w:tc>
          <w:tcPr/>
          <w:p>
            <w:pPr>
              <w:pStyle w:val="Compact"/>
            </w:pPr>
            <w:r>
              <w:t xml:space="preserve">0.5x / 1.3x</w:t>
            </w:r>
          </w:p>
        </w:tc>
        <w:tc>
          <w:tcPr/>
          <w:p>
            <w:pPr>
              <w:pStyle w:val="Compact"/>
            </w:pPr>
            <w:r>
              <w:t xml:space="preserve">ASSUMPTION</w:t>
            </w:r>
          </w:p>
        </w:tc>
      </w:tr>
      <w:tr>
        <w:tc>
          <w:tcPr/>
          <w:p>
            <w:pPr>
              <w:pStyle w:val="Compact"/>
            </w:pPr>
            <w:r>
              <w:t xml:space="preserve">Bear/Bull margin multiplier</w:t>
            </w:r>
          </w:p>
        </w:tc>
        <w:tc>
          <w:tcPr/>
          <w:p>
            <w:pPr>
              <w:pStyle w:val="Compact"/>
            </w:pPr>
            <w:r>
              <w:t xml:space="preserve">0.8x / 1.15x</w:t>
            </w:r>
          </w:p>
        </w:tc>
        <w:tc>
          <w:tcPr/>
          <w:p>
            <w:pPr>
              <w:pStyle w:val="Compact"/>
            </w:pPr>
            <w:r>
              <w:t xml:space="preserve">ASSUMPTION</w:t>
            </w:r>
          </w:p>
        </w:tc>
      </w:tr>
      <w:tr>
        <w:tc>
          <w:tcPr/>
          <w:p>
            <w:pPr>
              <w:pStyle w:val="Compact"/>
            </w:pPr>
            <w:r>
              <w:t xml:space="preserve">WACC adj Bear/Bull</w:t>
            </w:r>
          </w:p>
        </w:tc>
        <w:tc>
          <w:tcPr/>
          <w:p>
            <w:pPr>
              <w:pStyle w:val="Compact"/>
            </w:pPr>
            <w:r>
              <w:t xml:space="preserve">+1.0pp / -0.5pp</w:t>
            </w:r>
          </w:p>
        </w:tc>
        <w:tc>
          <w:tcPr/>
          <w:p>
            <w:pPr>
              <w:pStyle w:val="Compact"/>
            </w:pPr>
            <w:r>
              <w:t xml:space="preserve">ASSUMPTION</w:t>
            </w:r>
          </w:p>
        </w:tc>
      </w:tr>
      <w:tr>
        <w:tc>
          <w:tcPr/>
          <w:p>
            <w:pPr>
              <w:pStyle w:val="Compact"/>
            </w:pPr>
            <w:r>
              <w:t xml:space="preserve">Terminal g Bear/Base/Bull</w:t>
            </w:r>
          </w:p>
        </w:tc>
        <w:tc>
          <w:tcPr/>
          <w:p>
            <w:pPr>
              <w:pStyle w:val="Compact"/>
            </w:pPr>
            <w:r>
              <w:t xml:space="preserve">2.5% / 3.0% / 3.5%</w:t>
            </w:r>
          </w:p>
        </w:tc>
        <w:tc>
          <w:tcPr/>
          <w:p>
            <w:pPr>
              <w:pStyle w:val="Compact"/>
            </w:pPr>
            <w:r>
              <w:t xml:space="preserve">ASSUMPTION</w:t>
            </w:r>
          </w:p>
        </w:tc>
      </w:tr>
      <w:tr>
        <w:tc>
          <w:tcPr/>
          <w:p>
            <w:pPr>
              <w:pStyle w:val="Compact"/>
            </w:pPr>
            <w:r>
              <w:t xml:space="preserve">Scenario probabilities</w:t>
            </w:r>
          </w:p>
        </w:tc>
        <w:tc>
          <w:tcPr/>
          <w:p>
            <w:pPr>
              <w:pStyle w:val="Compact"/>
            </w:pPr>
            <w:r>
              <w:t xml:space="preserve">25% / 50% / 25%</w:t>
            </w:r>
          </w:p>
        </w:tc>
        <w:tc>
          <w:tcPr/>
          <w:p>
            <w:pPr>
              <w:pStyle w:val="Compact"/>
            </w:pPr>
            <w:r>
              <w:t xml:space="preserve">ASSUMPTION</w:t>
            </w:r>
          </w:p>
        </w:tc>
      </w:tr>
      <w:tr>
        <w:tc>
          <w:tcPr/>
          <w:p>
            <w:pPr>
              <w:pStyle w:val="Compact"/>
            </w:pPr>
            <w:r>
              <w:t xml:space="preserve">Horizon exit EV/NTM-FCF Bear/Base/Bull</w:t>
            </w:r>
          </w:p>
        </w:tc>
        <w:tc>
          <w:tcPr/>
          <w:p>
            <w:pPr>
              <w:pStyle w:val="Compact"/>
            </w:pPr>
            <w:r>
              <w:t xml:space="preserve">15x / 25x / 35x</w:t>
            </w:r>
          </w:p>
        </w:tc>
        <w:tc>
          <w:tcPr/>
          <w:p>
            <w:pPr>
              <w:pStyle w:val="Compact"/>
            </w:pPr>
            <w:r>
              <w:t xml:space="preserve">ASSUMPTION</w:t>
            </w:r>
          </w:p>
        </w:tc>
      </w:tr>
      <w:tr>
        <w:tc>
          <w:tcPr/>
          <w:p>
            <w:pPr>
              <w:pStyle w:val="Compact"/>
            </w:pPr>
            <w:r>
              <w:t xml:space="preserve">Per-share conversion</w:t>
            </w:r>
          </w:p>
        </w:tc>
        <w:tc>
          <w:tcPr/>
          <w:p>
            <w:pPr>
              <w:pStyle w:val="Compact"/>
            </w:pPr>
            <w:r>
              <w:t xml:space="preserve">value × fx ÷ market cap × price</w:t>
            </w:r>
          </w:p>
        </w:tc>
        <w:tc>
          <w:tcPr/>
          <w:p>
            <w:pPr>
              <w:pStyle w:val="Compact"/>
            </w:pPr>
            <w:r>
              <w:t xml:space="preserve">METHOD: avoids ADR/share-class mismatch</w:t>
            </w:r>
          </w:p>
        </w:tc>
      </w:tr>
    </w:tbl>
    <w:bookmarkEnd w:id="19"/>
    <w:bookmarkStart w:id="20" w:name="model-provenance-模型溯源"/>
    <w:p>
      <w:pPr>
        <w:pStyle w:val="Heading2"/>
      </w:pPr>
      <w:r>
        <w:t xml:space="preserve">12. Model Provenance </w:t>
      </w:r>
      <w:r>
        <w:rPr>
          <w:rFonts w:hint="eastAsia"/>
        </w:rPr>
        <w:t xml:space="preserve">模型溯源</w:t>
      </w:r>
    </w:p>
    <w:p>
      <w:pPr>
        <w:pStyle w:val="Compact"/>
        <w:numPr>
          <w:ilvl w:val="0"/>
          <w:numId w:val="1007"/>
        </w:numPr>
      </w:pPr>
      <w:r>
        <w:t xml:space="preserve">Model file:</w:t>
      </w:r>
      <w:r>
        <w:t xml:space="preserve"> </w:t>
      </w:r>
      <w:r>
        <w:rPr>
          <w:rStyle w:val="VerbatimChar"/>
        </w:rPr>
        <w:t xml:space="preserve">PLTR_model_v20261014-0758.xlsx</w:t>
      </w:r>
      <w:r>
        <w:t xml:space="preserve"> </w:t>
      </w:r>
      <w:r>
        <w:t xml:space="preserve">(live formulas; sheets Inputs→Scenarios→DCF→ReverseDCF→Sensitivity→Horizons→SOTP→Comps→ROIC_WACC→History→Sources→Assumptions)</w:t>
      </w:r>
    </w:p>
    <w:p>
      <w:pPr>
        <w:pStyle w:val="Compact"/>
        <w:numPr>
          <w:ilvl w:val="0"/>
          <w:numId w:val="1007"/>
        </w:numPr>
      </w:pPr>
      <w:r>
        <w:t xml:space="preserve">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p>
    <w:p>
      <w:pPr>
        <w:pStyle w:val="Compact"/>
        <w:numPr>
          <w:ilvl w:val="0"/>
          <w:numId w:val="1007"/>
        </w:numPr>
      </w:pPr>
      <w:r>
        <w:t xml:space="preserve">Data snapshot:</w:t>
      </w:r>
      <w:r>
        <w:t xml:space="preserve"> </w:t>
      </w:r>
      <w:r>
        <w:rPr>
          <w:rStyle w:val="VerbatimChar"/>
        </w:rPr>
        <w:t xml:space="preserve">data/snapshots/20261014-0758</w:t>
      </w:r>
      <w:r>
        <w:t xml:space="preserve"> </w:t>
      </w:r>
      <w:r>
        <w:t xml:space="preserve">(immutable) | Fetched 2026-10-14 07:58 SGT | Generated 2026-10-14 07:59 SGT</w:t>
      </w:r>
    </w:p>
    <w:p>
      <w:pPr>
        <w:pStyle w:val="Compact"/>
        <w:numPr>
          <w:ilvl w:val="0"/>
          <w:numId w:val="1007"/>
        </w:numPr>
      </w:pPr>
      <w:r>
        <w:t xml:space="preserve">Version: v20261014-0758. Prior versions are never overwritten (see company history page).</w:t>
      </w:r>
    </w:p>
    <w:bookmarkEnd w:id="20"/>
    <w:bookmarkStart w:id="21" w:name="版本与事件时间轴"/>
    <w:p>
      <w:pPr>
        <w:pStyle w:val="Heading2"/>
      </w:pPr>
      <w:r>
        <w:t xml:space="preserve">13. </w:t>
      </w:r>
      <w:r>
        <w:rPr>
          <w:rFonts w:hint="eastAsia"/>
        </w:rPr>
        <w:t xml:space="preserve">版本与事件时间轴</w:t>
      </w:r>
    </w:p>
    <w:p>
      <w:pPr>
        <w:pStyle w:val="Compact"/>
        <w:numPr>
          <w:ilvl w:val="0"/>
          <w:numId w:val="1008"/>
        </w:numPr>
      </w:pPr>
      <w:r>
        <w:t xml:space="preserve">v20261014-0758: </w:t>
      </w:r>
      <w:r>
        <w:rPr>
          <w:rFonts w:hint="eastAsia"/>
        </w:rPr>
        <w:t xml:space="preserve">首版生产系统报告</w:t>
      </w:r>
      <w:r>
        <w:t xml:space="preserve"> </w:t>
      </w:r>
      <w:r>
        <w:rPr>
          <w:rFonts w:hint="eastAsia"/>
        </w:rPr>
        <w:t xml:space="preserve">(27家同步)。下一事件:</w:t>
      </w:r>
      <w:r>
        <w:t xml:space="preserve"> </w:t>
      </w:r>
      <w:r>
        <w:rPr>
          <w:rFonts w:hint="eastAsia"/>
        </w:rPr>
        <w:t xml:space="preserve">财报</w:t>
      </w:r>
      <w:r>
        <w:t xml:space="preserve"> 2026-11-03 (TENTATIVE)。</w:t>
      </w:r>
    </w:p>
    <w:bookmarkEnd w:id="21"/>
    <w:bookmarkStart w:id="37" w:name="图片报告-image-report"/>
    <w:p>
      <w:pPr>
        <w:pStyle w:val="Heading2"/>
      </w:pPr>
      <w:r>
        <w:rPr>
          <w:rFonts w:hint="eastAsia"/>
        </w:rPr>
        <w:t xml:space="preserve">图片报告</w:t>
      </w:r>
      <w:r>
        <w:t xml:space="preserve"> Image Report</w:t>
      </w:r>
    </w:p>
    <w:p>
      <w:pPr>
        <w:pStyle w:val="CaptionedFigure"/>
      </w:pPr>
      <w:r>
        <w:drawing>
          <wp:inline>
            <wp:extent cx="5334000" cy="3000374"/>
            <wp:effectExtent b="0" l="0" r="0" t="0"/>
            <wp:docPr descr="1_price_vs_value" title="" id="23" name="Picture"/>
            <a:graphic>
              <a:graphicData uri="http://schemas.openxmlformats.org/drawingml/2006/picture">
                <pic:pic>
                  <pic:nvPicPr>
                    <pic:cNvPr descr="images/PLTR_1_price_vs_value.png" id="24" name="Picture"/>
                    <pic:cNvPicPr>
                      <a:picLocks noChangeArrowheads="1" noChangeAspect="1"/>
                    </pic:cNvPicPr>
                  </pic:nvPicPr>
                  <pic:blipFill>
                    <a:blip r:embed="rId22"/>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1_price_vs_value</w:t>
      </w:r>
    </w:p>
    <w:p>
      <w:pPr>
        <w:pStyle w:val="BodyText"/>
      </w:pPr>
      <w:r>
        <w:rPr>
          <w:rFonts w:hint="eastAsia"/>
          <w:i/>
          <w:iCs/>
        </w:rPr>
        <w:t xml:space="preserve">股价vs三情景价值</w:t>
      </w:r>
      <w:r>
        <w:rPr>
          <w:i/>
          <w:iCs/>
        </w:rPr>
        <w:t xml:space="preserve"> Price vs scenario values</w:t>
      </w:r>
    </w:p>
    <w:p>
      <w:pPr>
        <w:pStyle w:val="CaptionedFigure"/>
      </w:pPr>
      <w:r>
        <w:drawing>
          <wp:inline>
            <wp:extent cx="5334000" cy="3000374"/>
            <wp:effectExtent b="0" l="0" r="0" t="0"/>
            <wp:docPr descr="2_financials" title="" id="26" name="Picture"/>
            <a:graphic>
              <a:graphicData uri="http://schemas.openxmlformats.org/drawingml/2006/picture">
                <pic:pic>
                  <pic:nvPicPr>
                    <pic:cNvPr descr="images/PLTR_2_financials.png" id="27" name="Picture"/>
                    <pic:cNvPicPr>
                      <a:picLocks noChangeArrowheads="1" noChangeAspect="1"/>
                    </pic:cNvPicPr>
                  </pic:nvPicPr>
                  <pic:blipFill>
                    <a:blip r:embed="rId25"/>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2_financials</w:t>
      </w:r>
    </w:p>
    <w:p>
      <w:pPr>
        <w:pStyle w:val="BodyText"/>
      </w:pPr>
      <w:r>
        <w:rPr>
          <w:rFonts w:hint="eastAsia"/>
          <w:i/>
          <w:iCs/>
        </w:rPr>
        <w:t xml:space="preserve">季度财务</w:t>
      </w:r>
      <w:r>
        <w:rPr>
          <w:i/>
          <w:iCs/>
        </w:rPr>
        <w:t xml:space="preserve"> Quarterly financials</w:t>
      </w:r>
    </w:p>
    <w:p>
      <w:pPr>
        <w:pStyle w:val="CaptionedFigure"/>
      </w:pPr>
      <w:r>
        <w:drawing>
          <wp:inline>
            <wp:extent cx="5334000" cy="3000374"/>
            <wp:effectExtent b="0" l="0" r="0" t="0"/>
            <wp:docPr descr="3_scenarios" title="" id="29" name="Picture"/>
            <a:graphic>
              <a:graphicData uri="http://schemas.openxmlformats.org/drawingml/2006/picture">
                <pic:pic>
                  <pic:nvPicPr>
                    <pic:cNvPr descr="images/PLTR_3_scenarios.png" id="30" name="Picture"/>
                    <pic:cNvPicPr>
                      <a:picLocks noChangeArrowheads="1" noChangeAspect="1"/>
                    </pic:cNvPicPr>
                  </pic:nvPicPr>
                  <pic:blipFill>
                    <a:blip r:embed="rId28"/>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3_scenarios</w:t>
      </w:r>
    </w:p>
    <w:p>
      <w:pPr>
        <w:pStyle w:val="BodyText"/>
      </w:pPr>
      <w:r>
        <w:rPr>
          <w:rFonts w:hint="eastAsia"/>
          <w:i/>
          <w:iCs/>
        </w:rPr>
        <w:t xml:space="preserve">三情景</w:t>
      </w:r>
      <w:r>
        <w:rPr>
          <w:i/>
          <w:iCs/>
        </w:rPr>
        <w:t xml:space="preserve"> Scenarios</w:t>
      </w:r>
    </w:p>
    <w:p>
      <w:pPr>
        <w:pStyle w:val="CaptionedFigure"/>
      </w:pPr>
      <w:r>
        <w:drawing>
          <wp:inline>
            <wp:extent cx="5334000" cy="3000374"/>
            <wp:effectExtent b="0" l="0" r="0" t="0"/>
            <wp:docPr descr="4_horizons" title="" id="32" name="Picture"/>
            <a:graphic>
              <a:graphicData uri="http://schemas.openxmlformats.org/drawingml/2006/picture">
                <pic:pic>
                  <pic:nvPicPr>
                    <pic:cNvPr descr="images/PLTR_4_horizons.png" id="33" name="Picture"/>
                    <pic:cNvPicPr>
                      <a:picLocks noChangeArrowheads="1" noChangeAspect="1"/>
                    </pic:cNvPicPr>
                  </pic:nvPicPr>
                  <pic:blipFill>
                    <a:blip r:embed="rId31"/>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4_horizons</w:t>
      </w:r>
    </w:p>
    <w:p>
      <w:pPr>
        <w:pStyle w:val="BodyText"/>
      </w:pPr>
      <w:r>
        <w:rPr>
          <w:rFonts w:hint="eastAsia"/>
          <w:i/>
          <w:iCs/>
        </w:rPr>
        <w:t xml:space="preserve">2/4/6/8季度检验</w:t>
      </w:r>
      <w:r>
        <w:rPr>
          <w:i/>
          <w:iCs/>
        </w:rPr>
        <w:t xml:space="preserve"> Horizon check</w:t>
      </w:r>
    </w:p>
    <w:p>
      <w:pPr>
        <w:pStyle w:val="CaptionedFigure"/>
      </w:pPr>
      <w:r>
        <w:drawing>
          <wp:inline>
            <wp:extent cx="5334000" cy="3000374"/>
            <wp:effectExtent b="0" l="0" r="0" t="0"/>
            <wp:docPr descr="5_logic_map" title="" id="35" name="Picture"/>
            <a:graphic>
              <a:graphicData uri="http://schemas.openxmlformats.org/drawingml/2006/picture">
                <pic:pic>
                  <pic:nvPicPr>
                    <pic:cNvPr descr="images/PLTR_5_logic_map.png" id="36" name="Picture"/>
                    <pic:cNvPicPr>
                      <a:picLocks noChangeArrowheads="1" noChangeAspect="1"/>
                    </pic:cNvPicPr>
                  </pic:nvPicPr>
                  <pic:blipFill>
                    <a:blip r:embed="rId34"/>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5_logic_map</w:t>
      </w:r>
    </w:p>
    <w:p>
      <w:pPr>
        <w:pStyle w:val="BodyText"/>
      </w:pPr>
      <w:r>
        <w:rPr>
          <w:rFonts w:hint="eastAsia"/>
          <w:i/>
          <w:iCs/>
        </w:rPr>
        <w:t xml:space="preserve">研究逻辑图</w:t>
      </w:r>
      <w:r>
        <w:rPr>
          <w:i/>
          <w:iCs/>
        </w:rPr>
        <w:t xml:space="preserve"> Logic map</w:t>
      </w:r>
    </w:p>
    <w:p>
      <w:r>
        <w:pict>
          <v:rect style="width:0;height:1.5pt" o:hralign="center" o:hrstd="t" o:hr="t"/>
        </w:pict>
      </w:r>
    </w:p>
    <w:bookmarkEnd w:id="37"/>
    <w:bookmarkEnd w:id="38"/>
    <w:bookmarkStart w:id="49" w:name="X2fbacfcfbc81db7ece1642a2c7129afff8e7f9f"/>
    <w:p>
      <w:pPr>
        <w:pStyle w:val="Heading1"/>
      </w:pPr>
      <w:r>
        <w:t xml:space="preserve">PLTR Palantir Technologies Inc. — Equity Deep Dive (Professional English) v20261014-0758</w:t>
      </w:r>
    </w:p>
    <w:p>
      <w:pPr>
        <w:pStyle w:val="BlockText"/>
      </w:pPr>
      <w:r>
        <w:t xml:space="preserve">Data as of 2026-10-14 07:58 SGT | Price $208.67 | Mkt cap 501.4 bn USD | Reporting currency USD | Not investment advice.</w:t>
      </w:r>
    </w:p>
    <w:bookmarkStart w:id="39" w:name="investment-thesis-hypothesis"/>
    <w:p>
      <w:pPr>
        <w:pStyle w:val="Heading2"/>
      </w:pPr>
      <w:r>
        <w:t xml:space="preserve">1. Investment thesis (HYPOTHESIS)</w:t>
      </w:r>
    </w:p>
    <w:p>
      <w:pPr>
        <w:pStyle w:val="FirstParagraph"/>
      </w:pPr>
      <w:r>
        <w:t xml:space="preserve">AIP drives rapid US commercial growth and an extremely high Rule of 40, but the valuation implies decades of high growth and the stock is very sensitive to marginal growth changes.</w:t>
      </w:r>
    </w:p>
    <w:p>
      <w:pPr>
        <w:pStyle w:val="Compact"/>
        <w:numPr>
          <w:ilvl w:val="0"/>
          <w:numId w:val="1009"/>
        </w:numPr>
      </w:pPr>
      <w:r>
        <w:rPr>
          <w:b/>
          <w:bCs/>
        </w:rPr>
        <w:t xml:space="preserve">Bull drivers</w:t>
      </w:r>
      <w:r>
        <w:t xml:space="preserve">: US commercial &gt;60% growth sustained; large gov programs (Maven, Army </w:t>
      </w:r>
      <w:r>
        <w:rPr>
          <w:rFonts w:hint="eastAsia"/>
        </w:rPr>
        <w:t xml:space="preserve">enterprise)｜商业高增长持续；大型政府项目</w:t>
      </w:r>
    </w:p>
    <w:p>
      <w:pPr>
        <w:pStyle w:val="Compact"/>
        <w:numPr>
          <w:ilvl w:val="0"/>
          <w:numId w:val="1009"/>
        </w:numPr>
      </w:pPr>
      <w:r>
        <w:rPr>
          <w:b/>
          <w:bCs/>
        </w:rPr>
        <w:t xml:space="preserve">Bear drivers</w:t>
      </w:r>
      <w:r>
        <w:t xml:space="preserve">: Multiple compression; gov budget delays (shutdown/CR); </w:t>
      </w:r>
      <w:r>
        <w:rPr>
          <w:rFonts w:hint="eastAsia"/>
        </w:rPr>
        <w:t xml:space="preserve">competition｜估值压缩；政府预算延迟；竞争</w:t>
      </w:r>
    </w:p>
    <w:p>
      <w:pPr>
        <w:pStyle w:val="Compact"/>
        <w:numPr>
          <w:ilvl w:val="0"/>
          <w:numId w:val="1009"/>
        </w:numPr>
      </w:pPr>
      <w:r>
        <w:rPr>
          <w:b/>
          <w:bCs/>
        </w:rPr>
        <w:t xml:space="preserve">Falsifiers</w:t>
      </w:r>
      <w:r>
        <w:t xml:space="preserve">: US commercial growth decelerates sharply; net dollar retention falls; RPO </w:t>
      </w:r>
      <w:r>
        <w:rPr>
          <w:rFonts w:hint="eastAsia"/>
        </w:rPr>
        <w:t xml:space="preserve">stalls｜美国商业增速骤降；净留存率下降；RPO停滞</w:t>
      </w:r>
    </w:p>
    <w:bookmarkEnd w:id="39"/>
    <w:bookmarkStart w:id="40" w:name="products-customers-revenue-model"/>
    <w:p>
      <w:pPr>
        <w:pStyle w:val="Heading2"/>
      </w:pPr>
      <w:r>
        <w:t xml:space="preserve">2. Products, customers, revenue model</w:t>
      </w:r>
    </w:p>
    <w:p>
      <w:pPr>
        <w:pStyle w:val="Compact"/>
        <w:numPr>
          <w:ilvl w:val="0"/>
          <w:numId w:val="1010"/>
        </w:numPr>
      </w:pPr>
      <w:r>
        <w:t xml:space="preserve">Theme: AI software platform </w:t>
      </w:r>
      <w:r>
        <w:rPr>
          <w:rFonts w:hint="eastAsia"/>
        </w:rPr>
        <w:t xml:space="preserve">AI软件平台</w:t>
      </w:r>
      <w:r>
        <w:t xml:space="preserve"> | Segments: US Government </w:t>
      </w:r>
      <w:r>
        <w:rPr>
          <w:rFonts w:hint="eastAsia"/>
        </w:rPr>
        <w:t xml:space="preserve">美国政府;</w:t>
      </w:r>
      <w:r>
        <w:t xml:space="preserve"> US Commercial </w:t>
      </w:r>
      <w:r>
        <w:rPr>
          <w:rFonts w:hint="eastAsia"/>
        </w:rPr>
        <w:t xml:space="preserve">美国商业;</w:t>
      </w:r>
      <w:r>
        <w:t xml:space="preserve"> International </w:t>
      </w:r>
      <w:r>
        <w:rPr>
          <w:rFonts w:hint="eastAsia"/>
        </w:rPr>
        <w:t xml:space="preserve">国际</w:t>
      </w:r>
    </w:p>
    <w:p>
      <w:pPr>
        <w:pStyle w:val="Compact"/>
        <w:numPr>
          <w:ilvl w:val="0"/>
          <w:numId w:val="1010"/>
        </w:numPr>
      </w:pPr>
      <w:r>
        <w:t xml:space="preserve">Business description (DATA): Palantir Technologies Inc. builds and deploys software platforms for the intelligence community to assist in counterterrorism investigations and operations in the United States, the United Kingdom, and internationally. It provides Palantir Gotham integrates with other platforms for defense offerings which enables users to see, understand, and act in the modern battlespace; operations centers to the tactical edge; integrating data from domains and sensors in near real-time; and situational awareness and accelerating operational decision-making, as well as facilitates the hand-off between analysts and operational users, helping operators plan and execute real-world responses to threats that have been identified within the platform. It also offers Palantir Foundry, a platform that helps organizations operate by creating a central operating system for their data; and allows individual users</w:t>
      </w:r>
    </w:p>
    <w:p>
      <w:pPr>
        <w:pStyle w:val="Compact"/>
        <w:numPr>
          <w:ilvl w:val="0"/>
          <w:numId w:val="1010"/>
        </w:numPr>
      </w:pPr>
      <w:r>
        <w:t xml:space="preserve">Customers: US DoD/intel agencies, NATO allies, US enterprises </w:t>
      </w:r>
      <w:r>
        <w:rPr>
          <w:rFonts w:hint="eastAsia"/>
        </w:rPr>
        <w:t xml:space="preserve">(AIP)｜美国国防/情报、北约、企业(AIP)</w:t>
      </w:r>
    </w:p>
    <w:bookmarkEnd w:id="40"/>
    <w:bookmarkStart w:id="41" w:name="Xf7e0eebfce2361ef4d938640eaa3e4cf812446c"/>
    <w:p>
      <w:pPr>
        <w:pStyle w:val="Heading2"/>
      </w:pPr>
      <w:r>
        <w:t xml:space="preserve">3. Industry, competition, regulation, supply chain (ANALYST FRAMEWORK)</w:t>
      </w:r>
    </w:p>
    <w:p>
      <w:pPr>
        <w:pStyle w:val="Compact"/>
        <w:numPr>
          <w:ilvl w:val="0"/>
          <w:numId w:val="1011"/>
        </w:numPr>
      </w:pPr>
      <w:r>
        <w:t xml:space="preserve">Suppliers: Cloud (AWS, Azure, Oracle), LLM </w:t>
      </w:r>
      <w:r>
        <w:rPr>
          <w:rFonts w:hint="eastAsia"/>
        </w:rPr>
        <w:t xml:space="preserve">providers｜云服务、大模型供应商</w:t>
      </w:r>
    </w:p>
    <w:p>
      <w:pPr>
        <w:pStyle w:val="Compact"/>
        <w:numPr>
          <w:ilvl w:val="0"/>
          <w:numId w:val="1011"/>
        </w:numPr>
      </w:pPr>
      <w:r>
        <w:t xml:space="preserve">Competitors: Snowflake, Databricks, hyperscaler AI stacks, defense primes, </w:t>
      </w:r>
      <w:r>
        <w:rPr>
          <w:rFonts w:hint="eastAsia"/>
        </w:rPr>
        <w:t xml:space="preserve">Anduril｜Snowflake、Databricks、云厂、国防承包商、Anduril</w:t>
      </w:r>
    </w:p>
    <w:p>
      <w:pPr>
        <w:pStyle w:val="Compact"/>
        <w:numPr>
          <w:ilvl w:val="0"/>
          <w:numId w:val="1011"/>
        </w:numPr>
      </w:pPr>
      <w:r>
        <w:t xml:space="preserve">Bottlenecks/regulation: Gov budget/appropriations, forward-deployed engineer </w:t>
      </w:r>
      <w:r>
        <w:rPr>
          <w:rFonts w:hint="eastAsia"/>
        </w:rPr>
        <w:t xml:space="preserve">scaling｜政府预算拨款、驻场工程师扩张</w:t>
      </w:r>
    </w:p>
    <w:p>
      <w:pPr>
        <w:pStyle w:val="Compact"/>
        <w:numPr>
          <w:ilvl w:val="0"/>
          <w:numId w:val="1011"/>
        </w:numPr>
      </w:pPr>
      <w:r>
        <w:t xml:space="preserve">KPIs: US commercial revenue, TCV, RPO, customer count, adj. op </w:t>
      </w:r>
      <w:r>
        <w:rPr>
          <w:rFonts w:hint="eastAsia"/>
        </w:rPr>
        <w:t xml:space="preserve">margin｜美国商业收入、TCV、RPO、客户数、调整后营业利润率</w:t>
      </w:r>
    </w:p>
    <w:p>
      <w:pPr>
        <w:pStyle w:val="Compact"/>
        <w:numPr>
          <w:ilvl w:val="0"/>
          <w:numId w:val="1011"/>
        </w:numPr>
      </w:pPr>
      <w:r>
        <w:t xml:space="preserve">Component spot/contract prices: paid feeds not connected —</w:t>
      </w:r>
      <w:r>
        <w:t xml:space="preserve"> </w:t>
      </w:r>
      <w:r>
        <w:rPr>
          <w:b/>
          <w:bCs/>
        </w:rPr>
        <w:t xml:space="preserve">UNAVAILABLE</w:t>
      </w:r>
      <w:r>
        <w:t xml:space="preserve">, tracked qualitatively.</w:t>
      </w:r>
    </w:p>
    <w:bookmarkEnd w:id="41"/>
    <w:bookmarkStart w:id="42" w:name="Xf82d66d225d90b4cba8a47757a9fbb4df26318d"/>
    <w:p>
      <w:pPr>
        <w:pStyle w:val="Heading2"/>
      </w:pPr>
      <w:r>
        <w:t xml:space="preserve">4. Historical financials &amp; cash flow (CONFIRMED, quarterly,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Quarter</w:t>
            </w:r>
          </w:p>
        </w:tc>
        <w:tc>
          <w:tcPr/>
          <w:p>
            <w:pPr>
              <w:pStyle w:val="Compact"/>
            </w:pPr>
            <w:r>
              <w:t xml:space="preserve">Revenue</w:t>
            </w:r>
          </w:p>
        </w:tc>
        <w:tc>
          <w:tcPr/>
          <w:p>
            <w:pPr>
              <w:pStyle w:val="Compact"/>
            </w:pPr>
            <w:r>
              <w:t xml:space="preserve">Gross profit</w:t>
            </w:r>
          </w:p>
        </w:tc>
        <w:tc>
          <w:tcPr/>
          <w:p>
            <w:pPr>
              <w:pStyle w:val="Compact"/>
            </w:pPr>
            <w:r>
              <w:t xml:space="preserve">Op income</w:t>
            </w:r>
          </w:p>
        </w:tc>
        <w:tc>
          <w:tcPr/>
          <w:p>
            <w:pPr>
              <w:pStyle w:val="Compact"/>
            </w:pPr>
            <w:r>
              <w:t xml:space="preserve">Net income</w:t>
            </w:r>
          </w:p>
        </w:tc>
        <w:tc>
          <w:tcPr/>
          <w:p>
            <w:pPr>
              <w:pStyle w:val="Compact"/>
            </w:pPr>
            <w:r>
              <w:t xml:space="preserve">FCF</w:t>
            </w:r>
          </w:p>
        </w:tc>
        <w:tc>
          <w:tcPr/>
          <w:p>
            <w:pPr>
              <w:pStyle w:val="Compact"/>
            </w:pPr>
            <w:r>
              <w:t xml:space="preserve">Op margin</w:t>
            </w:r>
          </w:p>
        </w:tc>
      </w:tr>
      <w:tr>
        <w:tc>
          <w:tcPr/>
          <w:p>
            <w:pPr>
              <w:pStyle w:val="Compact"/>
            </w:pPr>
            <w:r>
              <w:t xml:space="preserve">2026-06-30</w:t>
            </w:r>
          </w:p>
        </w:tc>
        <w:tc>
          <w:tcPr/>
          <w:p>
            <w:pPr>
              <w:pStyle w:val="Compact"/>
            </w:pPr>
            <w:r>
              <w:t xml:space="preserve">1.9 bn USD</w:t>
            </w:r>
          </w:p>
        </w:tc>
        <w:tc>
          <w:tcPr/>
          <w:p>
            <w:pPr>
              <w:pStyle w:val="Compact"/>
            </w:pPr>
            <w:r>
              <w:t xml:space="preserve">1.6 bn USD</w:t>
            </w:r>
          </w:p>
        </w:tc>
        <w:tc>
          <w:tcPr/>
          <w:p>
            <w:pPr>
              <w:pStyle w:val="Compact"/>
            </w:pPr>
            <w:r>
              <w:t xml:space="preserve">0.9 bn USD</w:t>
            </w:r>
          </w:p>
        </w:tc>
        <w:tc>
          <w:tcPr/>
          <w:p>
            <w:pPr>
              <w:pStyle w:val="Compact"/>
            </w:pPr>
            <w:r>
              <w:t xml:space="preserve">1.1 bn USD</w:t>
            </w:r>
          </w:p>
        </w:tc>
        <w:tc>
          <w:tcPr/>
          <w:p>
            <w:pPr>
              <w:pStyle w:val="Compact"/>
            </w:pPr>
            <w:r>
              <w:t xml:space="preserve">1.2 bn USD</w:t>
            </w:r>
          </w:p>
        </w:tc>
        <w:tc>
          <w:tcPr/>
          <w:p>
            <w:pPr>
              <w:pStyle w:val="Compact"/>
            </w:pPr>
            <w:r>
              <w:t xml:space="preserve">47.1%</w:t>
            </w:r>
          </w:p>
        </w:tc>
      </w:tr>
      <w:tr>
        <w:tc>
          <w:tcPr/>
          <w:p>
            <w:pPr>
              <w:pStyle w:val="Compact"/>
            </w:pPr>
            <w:r>
              <w:t xml:space="preserve">2026-03-31</w:t>
            </w:r>
          </w:p>
        </w:tc>
        <w:tc>
          <w:tcPr/>
          <w:p>
            <w:pPr>
              <w:pStyle w:val="Compact"/>
            </w:pPr>
            <w:r>
              <w:t xml:space="preserve">1.6 bn USD</w:t>
            </w:r>
          </w:p>
        </w:tc>
        <w:tc>
          <w:tcPr/>
          <w:p>
            <w:pPr>
              <w:pStyle w:val="Compact"/>
            </w:pPr>
            <w:r>
              <w:t xml:space="preserve">1.4 bn USD</w:t>
            </w:r>
          </w:p>
        </w:tc>
        <w:tc>
          <w:tcPr/>
          <w:p>
            <w:pPr>
              <w:pStyle w:val="Compact"/>
            </w:pPr>
            <w:r>
              <w:t xml:space="preserve">0.8 bn USD</w:t>
            </w:r>
          </w:p>
        </w:tc>
        <w:tc>
          <w:tcPr/>
          <w:p>
            <w:pPr>
              <w:pStyle w:val="Compact"/>
            </w:pPr>
            <w:r>
              <w:t xml:space="preserve">0.9 bn USD</w:t>
            </w:r>
          </w:p>
        </w:tc>
        <w:tc>
          <w:tcPr/>
          <w:p>
            <w:pPr>
              <w:pStyle w:val="Compact"/>
            </w:pPr>
            <w:r>
              <w:t xml:space="preserve">0.9 bn USD</w:t>
            </w:r>
          </w:p>
        </w:tc>
        <w:tc>
          <w:tcPr/>
          <w:p>
            <w:pPr>
              <w:pStyle w:val="Compact"/>
            </w:pPr>
            <w:r>
              <w:t xml:space="preserve">46.2%</w:t>
            </w:r>
          </w:p>
        </w:tc>
      </w:tr>
      <w:tr>
        <w:tc>
          <w:tcPr/>
          <w:p>
            <w:pPr>
              <w:pStyle w:val="Compact"/>
            </w:pPr>
            <w:r>
              <w:t xml:space="preserve">2025-12-31</w:t>
            </w:r>
          </w:p>
        </w:tc>
        <w:tc>
          <w:tcPr/>
          <w:p>
            <w:pPr>
              <w:pStyle w:val="Compact"/>
            </w:pPr>
            <w:r>
              <w:t xml:space="preserve">1.4 bn USD</w:t>
            </w:r>
          </w:p>
        </w:tc>
        <w:tc>
          <w:tcPr/>
          <w:p>
            <w:pPr>
              <w:pStyle w:val="Compact"/>
            </w:pPr>
            <w:r>
              <w:t xml:space="preserve">1.2 bn USD</w:t>
            </w:r>
          </w:p>
        </w:tc>
        <w:tc>
          <w:tcPr/>
          <w:p>
            <w:pPr>
              <w:pStyle w:val="Compact"/>
            </w:pPr>
            <w:r>
              <w:t xml:space="preserve">0.6 bn USD</w:t>
            </w:r>
          </w:p>
        </w:tc>
        <w:tc>
          <w:tcPr/>
          <w:p>
            <w:pPr>
              <w:pStyle w:val="Compact"/>
            </w:pPr>
            <w:r>
              <w:t xml:space="preserve">0.6 bn USD</w:t>
            </w:r>
          </w:p>
        </w:tc>
        <w:tc>
          <w:tcPr/>
          <w:p>
            <w:pPr>
              <w:pStyle w:val="Compact"/>
            </w:pPr>
            <w:r>
              <w:t xml:space="preserve">0.8 bn USD</w:t>
            </w:r>
          </w:p>
        </w:tc>
        <w:tc>
          <w:tcPr/>
          <w:p>
            <w:pPr>
              <w:pStyle w:val="Compact"/>
            </w:pPr>
            <w:r>
              <w:t xml:space="preserve">40.9%</w:t>
            </w:r>
          </w:p>
        </w:tc>
      </w:tr>
      <w:tr>
        <w:tc>
          <w:tcPr/>
          <w:p>
            <w:pPr>
              <w:pStyle w:val="Compact"/>
            </w:pPr>
            <w:r>
              <w:t xml:space="preserve">2025-09-30</w:t>
            </w:r>
          </w:p>
        </w:tc>
        <w:tc>
          <w:tcPr/>
          <w:p>
            <w:pPr>
              <w:pStyle w:val="Compact"/>
            </w:pPr>
            <w:r>
              <w:t xml:space="preserve">1.2 bn USD</w:t>
            </w:r>
          </w:p>
        </w:tc>
        <w:tc>
          <w:tcPr/>
          <w:p>
            <w:pPr>
              <w:pStyle w:val="Compact"/>
            </w:pPr>
            <w:r>
              <w:t xml:space="preserve">1.0 bn USD</w:t>
            </w:r>
          </w:p>
        </w:tc>
        <w:tc>
          <w:tcPr/>
          <w:p>
            <w:pPr>
              <w:pStyle w:val="Compact"/>
            </w:pPr>
            <w:r>
              <w:t xml:space="preserve">0.4 bn USD</w:t>
            </w:r>
          </w:p>
        </w:tc>
        <w:tc>
          <w:tcPr/>
          <w:p>
            <w:pPr>
              <w:pStyle w:val="Compact"/>
            </w:pPr>
            <w:r>
              <w:t xml:space="preserve">0.5 bn USD</w:t>
            </w:r>
          </w:p>
        </w:tc>
        <w:tc>
          <w:tcPr/>
          <w:p>
            <w:pPr>
              <w:pStyle w:val="Compact"/>
            </w:pPr>
            <w:r>
              <w:t xml:space="preserve">0.5 bn USD</w:t>
            </w:r>
          </w:p>
        </w:tc>
        <w:tc>
          <w:tcPr/>
          <w:p>
            <w:pPr>
              <w:pStyle w:val="Compact"/>
            </w:pPr>
            <w:r>
              <w:t xml:space="preserve">33.3%</w:t>
            </w:r>
          </w:p>
        </w:tc>
      </w:tr>
      <w:tr>
        <w:tc>
          <w:tcPr/>
          <w:p>
            <w:pPr>
              <w:pStyle w:val="Compact"/>
            </w:pPr>
            <w:r>
              <w:t xml:space="preserve">2025-06-30</w:t>
            </w:r>
          </w:p>
        </w:tc>
        <w:tc>
          <w:tcPr/>
          <w:p>
            <w:pPr>
              <w:pStyle w:val="Compact"/>
            </w:pPr>
            <w:r>
              <w:t xml:space="preserve">1.0 bn USD</w:t>
            </w:r>
          </w:p>
        </w:tc>
        <w:tc>
          <w:tcPr/>
          <w:p>
            <w:pPr>
              <w:pStyle w:val="Compact"/>
            </w:pPr>
            <w:r>
              <w:t xml:space="preserve">0.8 bn USD</w:t>
            </w:r>
          </w:p>
        </w:tc>
        <w:tc>
          <w:tcPr/>
          <w:p>
            <w:pPr>
              <w:pStyle w:val="Compact"/>
            </w:pPr>
            <w:r>
              <w:t xml:space="preserve">0.3 bn USD</w:t>
            </w:r>
          </w:p>
        </w:tc>
        <w:tc>
          <w:tcPr/>
          <w:p>
            <w:pPr>
              <w:pStyle w:val="Compact"/>
            </w:pPr>
            <w:r>
              <w:t xml:space="preserve">0.3 bn USD</w:t>
            </w:r>
          </w:p>
        </w:tc>
        <w:tc>
          <w:tcPr/>
          <w:p>
            <w:pPr>
              <w:pStyle w:val="Compact"/>
            </w:pPr>
            <w:r>
              <w:t xml:space="preserve">0.5 bn USD</w:t>
            </w:r>
          </w:p>
        </w:tc>
        <w:tc>
          <w:tcPr/>
          <w:p>
            <w:pPr>
              <w:pStyle w:val="Compact"/>
            </w:pPr>
            <w:r>
              <w:t xml:space="preserve">26.8%</w:t>
            </w:r>
          </w:p>
        </w:tc>
      </w:tr>
    </w:tbl>
    <w:p>
      <w:pPr>
        <w:pStyle w:val="BodyText"/>
      </w:pPr>
      <w:r>
        <w:t xml:space="preserve">Cash 9.4 bn USD; debt 0.2 bn USD; TTM FCF 3.4 bn USD (FCF margin 54.6%).</w:t>
      </w:r>
    </w:p>
    <w:bookmarkEnd w:id="42"/>
    <w:bookmarkStart w:id="43" w:name="X3c821d6e9fede090eb3c69e03178b96148c2c25"/>
    <w:p>
      <w:pPr>
        <w:pStyle w:val="Heading2"/>
      </w:pPr>
      <w:r>
        <w:t xml:space="preserve">5. Latest earnings: actual vs consensus vs guidance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Quarter</w:t>
            </w:r>
          </w:p>
        </w:tc>
        <w:tc>
          <w:tcPr/>
          <w:p>
            <w:pPr>
              <w:pStyle w:val="Compact"/>
            </w:pPr>
            <w:r>
              <w:t xml:space="preserve">EPS actual</w:t>
            </w:r>
          </w:p>
        </w:tc>
        <w:tc>
          <w:tcPr/>
          <w:p>
            <w:pPr>
              <w:pStyle w:val="Compact"/>
            </w:pPr>
            <w:r>
              <w:t xml:space="preserve">EPS consensus</w:t>
            </w:r>
          </w:p>
        </w:tc>
        <w:tc>
          <w:tcPr/>
          <w:p>
            <w:pPr>
              <w:pStyle w:val="Compact"/>
            </w:pPr>
            <w:r>
              <w:t xml:space="preserve">Surprise</w:t>
            </w:r>
          </w:p>
        </w:tc>
      </w:tr>
      <w:tr>
        <w:tc>
          <w:tcPr/>
          <w:p>
            <w:pPr>
              <w:pStyle w:val="Compact"/>
            </w:pPr>
            <w:r>
              <w:t xml:space="preserve">2025-09-30</w:t>
            </w:r>
          </w:p>
        </w:tc>
        <w:tc>
          <w:tcPr/>
          <w:p>
            <w:pPr>
              <w:pStyle w:val="Compact"/>
            </w:pPr>
            <w:r>
              <w:t xml:space="preserve">0.21</w:t>
            </w:r>
          </w:p>
        </w:tc>
        <w:tc>
          <w:tcPr/>
          <w:p>
            <w:pPr>
              <w:pStyle w:val="Compact"/>
            </w:pPr>
            <w:r>
              <w:t xml:space="preserve">0.16738</w:t>
            </w:r>
          </w:p>
        </w:tc>
        <w:tc>
          <w:tcPr/>
          <w:p>
            <w:pPr>
              <w:pStyle w:val="Compact"/>
            </w:pPr>
            <w:r>
              <w:t xml:space="preserve">0.2546</w:t>
            </w:r>
          </w:p>
        </w:tc>
      </w:tr>
      <w:tr>
        <w:tc>
          <w:tcPr/>
          <w:p>
            <w:pPr>
              <w:pStyle w:val="Compact"/>
            </w:pPr>
            <w:r>
              <w:t xml:space="preserve">2025-12-31</w:t>
            </w:r>
          </w:p>
        </w:tc>
        <w:tc>
          <w:tcPr/>
          <w:p>
            <w:pPr>
              <w:pStyle w:val="Compact"/>
            </w:pPr>
            <w:r>
              <w:t xml:space="preserve">0.25</w:t>
            </w:r>
          </w:p>
        </w:tc>
        <w:tc>
          <w:tcPr/>
          <w:p>
            <w:pPr>
              <w:pStyle w:val="Compact"/>
            </w:pPr>
            <w:r>
              <w:t xml:space="preserve">0.2302</w:t>
            </w:r>
          </w:p>
        </w:tc>
        <w:tc>
          <w:tcPr/>
          <w:p>
            <w:pPr>
              <w:pStyle w:val="Compact"/>
            </w:pPr>
            <w:r>
              <w:t xml:space="preserve">0.086</w:t>
            </w:r>
          </w:p>
        </w:tc>
      </w:tr>
      <w:tr>
        <w:tc>
          <w:tcPr/>
          <w:p>
            <w:pPr>
              <w:pStyle w:val="Compact"/>
            </w:pPr>
            <w:r>
              <w:t xml:space="preserve">2026-03-31</w:t>
            </w:r>
          </w:p>
        </w:tc>
        <w:tc>
          <w:tcPr/>
          <w:p>
            <w:pPr>
              <w:pStyle w:val="Compact"/>
            </w:pPr>
            <w:r>
              <w:t xml:space="preserve">0.33</w:t>
            </w:r>
          </w:p>
        </w:tc>
        <w:tc>
          <w:tcPr/>
          <w:p>
            <w:pPr>
              <w:pStyle w:val="Compact"/>
            </w:pPr>
            <w:r>
              <w:t xml:space="preserve">0.27946</w:t>
            </w:r>
          </w:p>
        </w:tc>
        <w:tc>
          <w:tcPr/>
          <w:p>
            <w:pPr>
              <w:pStyle w:val="Compact"/>
            </w:pPr>
            <w:r>
              <w:t xml:space="preserve">0.1808</w:t>
            </w:r>
          </w:p>
        </w:tc>
      </w:tr>
      <w:tr>
        <w:tc>
          <w:tcPr/>
          <w:p>
            <w:pPr>
              <w:pStyle w:val="Compact"/>
            </w:pPr>
            <w:r>
              <w:t xml:space="preserve">2026-06-30</w:t>
            </w:r>
          </w:p>
        </w:tc>
        <w:tc>
          <w:tcPr/>
          <w:p>
            <w:pPr>
              <w:pStyle w:val="Compact"/>
            </w:pPr>
            <w:r>
              <w:t xml:space="preserve">0.41</w:t>
            </w:r>
          </w:p>
        </w:tc>
        <w:tc>
          <w:tcPr/>
          <w:p>
            <w:pPr>
              <w:pStyle w:val="Compact"/>
            </w:pPr>
            <w:r>
              <w:t xml:space="preserve">0.34596</w:t>
            </w:r>
          </w:p>
        </w:tc>
        <w:tc>
          <w:tcPr/>
          <w:p>
            <w:pPr>
              <w:pStyle w:val="Compact"/>
            </w:pPr>
            <w:r>
              <w:t xml:space="preserve">0.1851</w:t>
            </w:r>
          </w:p>
        </w:tc>
      </w:tr>
    </w:tbl>
    <w:p>
      <w:pPr>
        <w:pStyle w:val="Compact"/>
        <w:numPr>
          <w:ilvl w:val="0"/>
          <w:numId w:val="1012"/>
        </w:numPr>
      </w:pPr>
      <w:r>
        <w:t xml:space="preserve">Management guidance: not in automated feed —</w:t>
      </w:r>
      <w:r>
        <w:t xml:space="preserve"> </w:t>
      </w:r>
      <w:r>
        <w:rPr>
          <w:b/>
          <w:bCs/>
        </w:rPr>
        <w:t xml:space="preserve">UNAVAILABLE (to be entered from IR release)</w:t>
      </w:r>
      <w:r>
        <w:t xml:space="preserve">.</w:t>
      </w:r>
    </w:p>
    <w:p>
      <w:pPr>
        <w:pStyle w:val="Compact"/>
        <w:numPr>
          <w:ilvl w:val="0"/>
          <w:numId w:val="1012"/>
        </w:numPr>
      </w:pPr>
      <w:r>
        <w:t xml:space="preserve">Next earnings (Yahoo; TENTATIVE until company-confirmed):</w:t>
      </w:r>
      <w:r>
        <w:t xml:space="preserve"> </w:t>
      </w:r>
      <w:r>
        <w:rPr>
          <w:b/>
          <w:bCs/>
        </w:rPr>
        <w:t xml:space="preserve">2026-11-03</w:t>
      </w:r>
      <w:r>
        <w:t xml:space="preserve">; current-quarter EPS consensus 0.41306 (24 analysts); revenue consensus 2.2 bn USD.</w:t>
      </w:r>
    </w:p>
    <w:bookmarkEnd w:id="43"/>
    <w:bookmarkStart w:id="44" w:name="quarter-drivers-price-reasonableness"/>
    <w:p>
      <w:pPr>
        <w:pStyle w:val="Heading2"/>
      </w:pPr>
      <w:r>
        <w:t xml:space="preserve">6. 2/4/6/8-quarter drivers &amp; price reasonableness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Horizon</w:t>
            </w:r>
          </w:p>
        </w:tc>
        <w:tc>
          <w:tcPr/>
          <w:p>
            <w:pPr>
              <w:pStyle w:val="Compact"/>
            </w:pPr>
            <w:r>
              <w:t xml:space="preserve">Scenario</w:t>
            </w:r>
          </w:p>
        </w:tc>
        <w:tc>
          <w:tcPr/>
          <w:p>
            <w:pPr>
              <w:pStyle w:val="Compact"/>
            </w:pPr>
            <w:r>
              <w:t xml:space="preserve">PV of horizon price</w:t>
            </w:r>
          </w:p>
        </w:tc>
        <w:tc>
          <w:tcPr/>
          <w:p>
            <w:pPr>
              <w:pStyle w:val="Compact"/>
            </w:pPr>
            <w:r>
              <w:t xml:space="preserve">vs current</w:t>
            </w:r>
          </w:p>
        </w:tc>
      </w:tr>
      <w:tr>
        <w:tc>
          <w:tcPr/>
          <w:p>
            <w:pPr>
              <w:pStyle w:val="Compact"/>
            </w:pPr>
            <w:r>
              <w:t xml:space="preserve">2Q</w:t>
            </w:r>
          </w:p>
        </w:tc>
        <w:tc>
          <w:tcPr/>
          <w:p>
            <w:pPr>
              <w:pStyle w:val="Compact"/>
            </w:pPr>
            <w:r>
              <w:t xml:space="preserve">Bear</w:t>
            </w:r>
          </w:p>
        </w:tc>
        <w:tc>
          <w:tcPr/>
          <w:p>
            <w:pPr>
              <w:pStyle w:val="Compact"/>
            </w:pPr>
            <w:r>
              <w:t xml:space="preserve">$28.21</w:t>
            </w:r>
          </w:p>
        </w:tc>
        <w:tc>
          <w:tcPr/>
          <w:p>
            <w:pPr>
              <w:pStyle w:val="Compact"/>
            </w:pPr>
            <w:r>
              <w:t xml:space="preserve">-86.5%</w:t>
            </w:r>
          </w:p>
        </w:tc>
      </w:tr>
      <w:tr>
        <w:tc>
          <w:tcPr/>
          <w:p>
            <w:pPr>
              <w:pStyle w:val="Compact"/>
            </w:pPr>
            <w:r>
              <w:t xml:space="preserve">2Q</w:t>
            </w:r>
          </w:p>
        </w:tc>
        <w:tc>
          <w:tcPr/>
          <w:p>
            <w:pPr>
              <w:pStyle w:val="Compact"/>
            </w:pPr>
            <w:r>
              <w:t xml:space="preserve">Base</w:t>
            </w:r>
          </w:p>
        </w:tc>
        <w:tc>
          <w:tcPr/>
          <w:p>
            <w:pPr>
              <w:pStyle w:val="Compact"/>
            </w:pPr>
            <w:r>
              <w:t xml:space="preserve">$60.81</w:t>
            </w:r>
          </w:p>
        </w:tc>
        <w:tc>
          <w:tcPr/>
          <w:p>
            <w:pPr>
              <w:pStyle w:val="Compact"/>
            </w:pPr>
            <w:r>
              <w:t xml:space="preserve">-70.9%</w:t>
            </w:r>
          </w:p>
        </w:tc>
      </w:tr>
      <w:tr>
        <w:tc>
          <w:tcPr/>
          <w:p>
            <w:pPr>
              <w:pStyle w:val="Compact"/>
            </w:pPr>
            <w:r>
              <w:t xml:space="preserve">2Q</w:t>
            </w:r>
          </w:p>
        </w:tc>
        <w:tc>
          <w:tcPr/>
          <w:p>
            <w:pPr>
              <w:pStyle w:val="Compact"/>
            </w:pPr>
            <w:r>
              <w:t xml:space="preserve">Bull</w:t>
            </w:r>
          </w:p>
        </w:tc>
        <w:tc>
          <w:tcPr/>
          <w:p>
            <w:pPr>
              <w:pStyle w:val="Compact"/>
            </w:pPr>
            <w:r>
              <w:t xml:space="preserve">$99.87</w:t>
            </w:r>
          </w:p>
        </w:tc>
        <w:tc>
          <w:tcPr/>
          <w:p>
            <w:pPr>
              <w:pStyle w:val="Compact"/>
            </w:pPr>
            <w:r>
              <w:t xml:space="preserve">-52.1%</w:t>
            </w:r>
          </w:p>
        </w:tc>
      </w:tr>
      <w:tr>
        <w:tc>
          <w:tcPr/>
          <w:p>
            <w:pPr>
              <w:pStyle w:val="Compact"/>
            </w:pPr>
            <w:r>
              <w:t xml:space="preserve">4Q</w:t>
            </w:r>
          </w:p>
        </w:tc>
        <w:tc>
          <w:tcPr/>
          <w:p>
            <w:pPr>
              <w:pStyle w:val="Compact"/>
            </w:pPr>
            <w:r>
              <w:t xml:space="preserve">Bear</w:t>
            </w:r>
          </w:p>
        </w:tc>
        <w:tc>
          <w:tcPr/>
          <w:p>
            <w:pPr>
              <w:pStyle w:val="Compact"/>
            </w:pPr>
            <w:r>
              <w:t xml:space="preserve">$28.14</w:t>
            </w:r>
          </w:p>
        </w:tc>
        <w:tc>
          <w:tcPr/>
          <w:p>
            <w:pPr>
              <w:pStyle w:val="Compact"/>
            </w:pPr>
            <w:r>
              <w:t xml:space="preserve">-86.5%</w:t>
            </w:r>
          </w:p>
        </w:tc>
      </w:tr>
      <w:tr>
        <w:tc>
          <w:tcPr/>
          <w:p>
            <w:pPr>
              <w:pStyle w:val="Compact"/>
            </w:pPr>
            <w:r>
              <w:t xml:space="preserve">4Q</w:t>
            </w:r>
          </w:p>
        </w:tc>
        <w:tc>
          <w:tcPr/>
          <w:p>
            <w:pPr>
              <w:pStyle w:val="Compact"/>
            </w:pPr>
            <w:r>
              <w:t xml:space="preserve">Base</w:t>
            </w:r>
          </w:p>
        </w:tc>
        <w:tc>
          <w:tcPr/>
          <w:p>
            <w:pPr>
              <w:pStyle w:val="Compact"/>
            </w:pPr>
            <w:r>
              <w:t xml:space="preserve">$68.04</w:t>
            </w:r>
          </w:p>
        </w:tc>
        <w:tc>
          <w:tcPr/>
          <w:p>
            <w:pPr>
              <w:pStyle w:val="Compact"/>
            </w:pPr>
            <w:r>
              <w:t xml:space="preserve">-67.4%</w:t>
            </w:r>
          </w:p>
        </w:tc>
      </w:tr>
      <w:tr>
        <w:tc>
          <w:tcPr/>
          <w:p>
            <w:pPr>
              <w:pStyle w:val="Compact"/>
            </w:pPr>
            <w:r>
              <w:t xml:space="preserve">4Q</w:t>
            </w:r>
          </w:p>
        </w:tc>
        <w:tc>
          <w:tcPr/>
          <w:p>
            <w:pPr>
              <w:pStyle w:val="Compact"/>
            </w:pPr>
            <w:r>
              <w:t xml:space="preserve">Bull</w:t>
            </w:r>
          </w:p>
        </w:tc>
        <w:tc>
          <w:tcPr/>
          <w:p>
            <w:pPr>
              <w:pStyle w:val="Compact"/>
            </w:pPr>
            <w:r>
              <w:t xml:space="preserve">$119.30</w:t>
            </w:r>
          </w:p>
        </w:tc>
        <w:tc>
          <w:tcPr/>
          <w:p>
            <w:pPr>
              <w:pStyle w:val="Compact"/>
            </w:pPr>
            <w:r>
              <w:t xml:space="preserve">-42.8%</w:t>
            </w:r>
          </w:p>
        </w:tc>
      </w:tr>
      <w:tr>
        <w:tc>
          <w:tcPr/>
          <w:p>
            <w:pPr>
              <w:pStyle w:val="Compact"/>
            </w:pPr>
            <w:r>
              <w:t xml:space="preserve">6Q</w:t>
            </w:r>
          </w:p>
        </w:tc>
        <w:tc>
          <w:tcPr/>
          <w:p>
            <w:pPr>
              <w:pStyle w:val="Compact"/>
            </w:pPr>
            <w:r>
              <w:t xml:space="preserve">Bear</w:t>
            </w:r>
          </w:p>
        </w:tc>
        <w:tc>
          <w:tcPr/>
          <w:p>
            <w:pPr>
              <w:pStyle w:val="Compact"/>
            </w:pPr>
            <w:r>
              <w:t xml:space="preserve">$28.06</w:t>
            </w:r>
          </w:p>
        </w:tc>
        <w:tc>
          <w:tcPr/>
          <w:p>
            <w:pPr>
              <w:pStyle w:val="Compact"/>
            </w:pPr>
            <w:r>
              <w:t xml:space="preserve">-86.6%</w:t>
            </w:r>
          </w:p>
        </w:tc>
      </w:tr>
      <w:tr>
        <w:tc>
          <w:tcPr/>
          <w:p>
            <w:pPr>
              <w:pStyle w:val="Compact"/>
            </w:pPr>
            <w:r>
              <w:t xml:space="preserve">6Q</w:t>
            </w:r>
          </w:p>
        </w:tc>
        <w:tc>
          <w:tcPr/>
          <w:p>
            <w:pPr>
              <w:pStyle w:val="Compact"/>
            </w:pPr>
            <w:r>
              <w:t xml:space="preserve">Base</w:t>
            </w:r>
          </w:p>
        </w:tc>
        <w:tc>
          <w:tcPr/>
          <w:p>
            <w:pPr>
              <w:pStyle w:val="Compact"/>
            </w:pPr>
            <w:r>
              <w:t xml:space="preserve">$76.22</w:t>
            </w:r>
          </w:p>
        </w:tc>
        <w:tc>
          <w:tcPr/>
          <w:p>
            <w:pPr>
              <w:pStyle w:val="Compact"/>
            </w:pPr>
            <w:r>
              <w:t xml:space="preserve">-63.5%</w:t>
            </w:r>
          </w:p>
        </w:tc>
      </w:tr>
      <w:tr>
        <w:tc>
          <w:tcPr/>
          <w:p>
            <w:pPr>
              <w:pStyle w:val="Compact"/>
            </w:pPr>
            <w:r>
              <w:t xml:space="preserve">6Q</w:t>
            </w:r>
          </w:p>
        </w:tc>
        <w:tc>
          <w:tcPr/>
          <w:p>
            <w:pPr>
              <w:pStyle w:val="Compact"/>
            </w:pPr>
            <w:r>
              <w:t xml:space="preserve">Bull</w:t>
            </w:r>
          </w:p>
        </w:tc>
        <w:tc>
          <w:tcPr/>
          <w:p>
            <w:pPr>
              <w:pStyle w:val="Compact"/>
            </w:pPr>
            <w:r>
              <w:t xml:space="preserve">$142.75</w:t>
            </w:r>
          </w:p>
        </w:tc>
        <w:tc>
          <w:tcPr/>
          <w:p>
            <w:pPr>
              <w:pStyle w:val="Compact"/>
            </w:pPr>
            <w:r>
              <w:t xml:space="preserve">-31.6%</w:t>
            </w:r>
          </w:p>
        </w:tc>
      </w:tr>
      <w:tr>
        <w:tc>
          <w:tcPr/>
          <w:p>
            <w:pPr>
              <w:pStyle w:val="Compact"/>
            </w:pPr>
            <w:r>
              <w:t xml:space="preserve">8Q</w:t>
            </w:r>
          </w:p>
        </w:tc>
        <w:tc>
          <w:tcPr/>
          <w:p>
            <w:pPr>
              <w:pStyle w:val="Compact"/>
            </w:pPr>
            <w:r>
              <w:t xml:space="preserve">Bear</w:t>
            </w:r>
          </w:p>
        </w:tc>
        <w:tc>
          <w:tcPr/>
          <w:p>
            <w:pPr>
              <w:pStyle w:val="Compact"/>
            </w:pPr>
            <w:r>
              <w:t xml:space="preserve">$27.94</w:t>
            </w:r>
          </w:p>
        </w:tc>
        <w:tc>
          <w:tcPr/>
          <w:p>
            <w:pPr>
              <w:pStyle w:val="Compact"/>
            </w:pPr>
            <w:r>
              <w:t xml:space="preserve">-86.6%</w:t>
            </w:r>
          </w:p>
        </w:tc>
      </w:tr>
      <w:tr>
        <w:tc>
          <w:tcPr/>
          <w:p>
            <w:pPr>
              <w:pStyle w:val="Compact"/>
            </w:pPr>
            <w:r>
              <w:t xml:space="preserve">8Q</w:t>
            </w:r>
          </w:p>
        </w:tc>
        <w:tc>
          <w:tcPr/>
          <w:p>
            <w:pPr>
              <w:pStyle w:val="Compact"/>
            </w:pPr>
            <w:r>
              <w:t xml:space="preserve">Base</w:t>
            </w:r>
          </w:p>
        </w:tc>
        <w:tc>
          <w:tcPr/>
          <w:p>
            <w:pPr>
              <w:pStyle w:val="Compact"/>
            </w:pPr>
            <w:r>
              <w:t xml:space="preserve">$85.47</w:t>
            </w:r>
          </w:p>
        </w:tc>
        <w:tc>
          <w:tcPr/>
          <w:p>
            <w:pPr>
              <w:pStyle w:val="Compact"/>
            </w:pPr>
            <w:r>
              <w:t xml:space="preserve">-59.0%</w:t>
            </w:r>
          </w:p>
        </w:tc>
      </w:tr>
      <w:tr>
        <w:tc>
          <w:tcPr/>
          <w:p>
            <w:pPr>
              <w:pStyle w:val="Compact"/>
            </w:pPr>
            <w:r>
              <w:t xml:space="preserve">8Q</w:t>
            </w:r>
          </w:p>
        </w:tc>
        <w:tc>
          <w:tcPr/>
          <w:p>
            <w:pPr>
              <w:pStyle w:val="Compact"/>
            </w:pPr>
            <w:r>
              <w:t xml:space="preserve">Bull</w:t>
            </w:r>
          </w:p>
        </w:tc>
        <w:tc>
          <w:tcPr/>
          <w:p>
            <w:pPr>
              <w:pStyle w:val="Compact"/>
            </w:pPr>
            <w:r>
              <w:t xml:space="preserve">$171.03</w:t>
            </w:r>
          </w:p>
        </w:tc>
        <w:tc>
          <w:tcPr/>
          <w:p>
            <w:pPr>
              <w:pStyle w:val="Compact"/>
            </w:pPr>
            <w:r>
              <w:t xml:space="preserve">-18.0%</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Current-price implied EV/NTM-FCF on Base path:</w:t>
            </w:r>
          </w:p>
        </w:tc>
        <w:tc>
          <w:tcPr/>
          <w:p>
            <w:pPr>
              <w:pStyle w:val="Compact"/>
            </w:pPr>
            <w:r>
              <w:t xml:space="preserve">Horizon</w:t>
            </w:r>
          </w:p>
        </w:tc>
      </w:tr>
      <w:tr>
        <w:tc>
          <w:tcPr/>
          <w:p>
            <w:pPr>
              <w:pStyle w:val="Compact"/>
            </w:pPr>
            <w:r>
              <w:t xml:space="preserve">2Q</w:t>
            </w:r>
          </w:p>
        </w:tc>
        <w:tc>
          <w:tcPr/>
          <w:p>
            <w:pPr>
              <w:pStyle w:val="Compact"/>
            </w:pPr>
            <w:r>
              <w:t xml:space="preserve">84.1x</w:t>
            </w:r>
          </w:p>
        </w:tc>
      </w:tr>
      <w:tr>
        <w:tc>
          <w:tcPr/>
          <w:p>
            <w:pPr>
              <w:pStyle w:val="Compact"/>
            </w:pPr>
            <w:r>
              <w:t xml:space="preserve">4Q</w:t>
            </w:r>
          </w:p>
        </w:tc>
        <w:tc>
          <w:tcPr/>
          <w:p>
            <w:pPr>
              <w:pStyle w:val="Compact"/>
            </w:pPr>
            <w:r>
              <w:t xml:space="preserve">69.9x</w:t>
            </w:r>
          </w:p>
        </w:tc>
      </w:tr>
      <w:tr>
        <w:tc>
          <w:tcPr/>
          <w:p>
            <w:pPr>
              <w:pStyle w:val="Compact"/>
            </w:pPr>
            <w:r>
              <w:t xml:space="preserve">6Q</w:t>
            </w:r>
          </w:p>
        </w:tc>
        <w:tc>
          <w:tcPr/>
          <w:p>
            <w:pPr>
              <w:pStyle w:val="Compact"/>
            </w:pPr>
            <w:r>
              <w:t xml:space="preserve">58.2x</w:t>
            </w:r>
          </w:p>
        </w:tc>
      </w:tr>
      <w:tr>
        <w:tc>
          <w:tcPr/>
          <w:p>
            <w:pPr>
              <w:pStyle w:val="Compact"/>
            </w:pPr>
            <w:r>
              <w:t xml:space="preserve">8Q</w:t>
            </w:r>
          </w:p>
        </w:tc>
        <w:tc>
          <w:tcPr/>
          <w:p>
            <w:pPr>
              <w:pStyle w:val="Compact"/>
            </w:pPr>
            <w:r>
              <w:t xml:space="preserve">48.4x</w:t>
            </w:r>
          </w:p>
        </w:tc>
      </w:tr>
    </w:tbl>
    <w:bookmarkEnd w:id="44"/>
    <w:bookmarkStart w:id="45" w:name="bear-base-bull-hypothesis"/>
    <w:p>
      <w:pPr>
        <w:pStyle w:val="Heading2"/>
      </w:pPr>
      <w:r>
        <w:t xml:space="preserve">7.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Scenario</w:t>
            </w:r>
          </w:p>
        </w:tc>
        <w:tc>
          <w:tcPr/>
          <w:p>
            <w:pPr>
              <w:pStyle w:val="Compact"/>
            </w:pPr>
            <w:r>
              <w:t xml:space="preserve">Y1 growth</w:t>
            </w:r>
          </w:p>
        </w:tc>
        <w:tc>
          <w:tcPr/>
          <w:p>
            <w:pPr>
              <w:pStyle w:val="Compact"/>
            </w:pPr>
            <w:r>
              <w:t xml:space="preserve">LR FCF margin</w:t>
            </w:r>
          </w:p>
        </w:tc>
        <w:tc>
          <w:tcPr/>
          <w:p>
            <w:pPr>
              <w:pStyle w:val="Compact"/>
            </w:pPr>
            <w:r>
              <w:t xml:space="preserve">WACC</w:t>
            </w:r>
          </w:p>
        </w:tc>
        <w:tc>
          <w:tcPr/>
          <w:p>
            <w:pPr>
              <w:pStyle w:val="Compact"/>
            </w:pPr>
            <w:r>
              <w:t xml:space="preserve">Terminal g</w:t>
            </w:r>
          </w:p>
        </w:tc>
        <w:tc>
          <w:tcPr/>
          <w:p>
            <w:pPr>
              <w:pStyle w:val="Compact"/>
            </w:pPr>
            <w:r>
              <w:t xml:space="preserve">Prob.</w:t>
            </w:r>
          </w:p>
        </w:tc>
        <w:tc>
          <w:tcPr/>
          <w:p>
            <w:pPr>
              <w:pStyle w:val="Compact"/>
            </w:pPr>
            <w:r>
              <w:t xml:space="preserve">Value/share</w:t>
            </w:r>
          </w:p>
        </w:tc>
        <w:tc>
          <w:tcPr/>
          <w:p>
            <w:pPr>
              <w:pStyle w:val="Compact"/>
            </w:pPr>
            <w:r>
              <w:t xml:space="preserve">vs price</w:t>
            </w:r>
          </w:p>
        </w:tc>
      </w:tr>
      <w:tr>
        <w:tc>
          <w:tcPr/>
          <w:p>
            <w:pPr>
              <w:pStyle w:val="Compact"/>
            </w:pPr>
            <w:r>
              <w:t xml:space="preserve">Bear</w:t>
            </w:r>
          </w:p>
        </w:tc>
        <w:tc>
          <w:tcPr/>
          <w:p>
            <w:pPr>
              <w:pStyle w:val="Compact"/>
            </w:pPr>
            <w:r>
              <w:t xml:space="preserve">25.1%</w:t>
            </w:r>
          </w:p>
        </w:tc>
        <w:tc>
          <w:tcPr/>
          <w:p>
            <w:pPr>
              <w:pStyle w:val="Compact"/>
            </w:pPr>
            <w:r>
              <w:t xml:space="preserve">36.0%</w:t>
            </w:r>
          </w:p>
        </w:tc>
        <w:tc>
          <w:tcPr/>
          <w:p>
            <w:pPr>
              <w:pStyle w:val="Compact"/>
            </w:pPr>
            <w:r>
              <w:t xml:space="preserve">14.2%</w:t>
            </w:r>
          </w:p>
        </w:tc>
        <w:tc>
          <w:tcPr/>
          <w:p>
            <w:pPr>
              <w:pStyle w:val="Compact"/>
            </w:pPr>
            <w:r>
              <w:t xml:space="preserve">2.5%</w:t>
            </w:r>
          </w:p>
        </w:tc>
        <w:tc>
          <w:tcPr/>
          <w:p>
            <w:pPr>
              <w:pStyle w:val="Compact"/>
            </w:pPr>
            <w:r>
              <w:t xml:space="preserve">25.0%</w:t>
            </w:r>
          </w:p>
        </w:tc>
        <w:tc>
          <w:tcPr/>
          <w:p>
            <w:pPr>
              <w:pStyle w:val="Compact"/>
            </w:pPr>
            <w:r>
              <w:t xml:space="preserve">$23.26</w:t>
            </w:r>
          </w:p>
        </w:tc>
        <w:tc>
          <w:tcPr/>
          <w:p>
            <w:pPr>
              <w:pStyle w:val="Compact"/>
            </w:pPr>
            <w:r>
              <w:t xml:space="preserve">-88.9%</w:t>
            </w:r>
          </w:p>
        </w:tc>
      </w:tr>
      <w:tr>
        <w:tc>
          <w:tcPr/>
          <w:p>
            <w:pPr>
              <w:pStyle w:val="Compact"/>
            </w:pPr>
            <w:r>
              <w:t xml:space="preserve">Base</w:t>
            </w:r>
          </w:p>
        </w:tc>
        <w:tc>
          <w:tcPr/>
          <w:p>
            <w:pPr>
              <w:pStyle w:val="Compact"/>
            </w:pPr>
            <w:r>
              <w:t xml:space="preserve">50.1%</w:t>
            </w:r>
          </w:p>
        </w:tc>
        <w:tc>
          <w:tcPr/>
          <w:p>
            <w:pPr>
              <w:pStyle w:val="Compact"/>
            </w:pPr>
            <w:r>
              <w:t xml:space="preserve">45.0%</w:t>
            </w:r>
          </w:p>
        </w:tc>
        <w:tc>
          <w:tcPr/>
          <w:p>
            <w:pPr>
              <w:pStyle w:val="Compact"/>
            </w:pPr>
            <w:r>
              <w:t xml:space="preserve">13.2%</w:t>
            </w:r>
          </w:p>
        </w:tc>
        <w:tc>
          <w:tcPr/>
          <w:p>
            <w:pPr>
              <w:pStyle w:val="Compact"/>
            </w:pPr>
            <w:r>
              <w:t xml:space="preserve">3.0%</w:t>
            </w:r>
          </w:p>
        </w:tc>
        <w:tc>
          <w:tcPr/>
          <w:p>
            <w:pPr>
              <w:pStyle w:val="Compact"/>
            </w:pPr>
            <w:r>
              <w:t xml:space="preserve">50.0%</w:t>
            </w:r>
          </w:p>
        </w:tc>
        <w:tc>
          <w:tcPr/>
          <w:p>
            <w:pPr>
              <w:pStyle w:val="Compact"/>
            </w:pPr>
            <w:r>
              <w:t xml:space="preserve">$67.43</w:t>
            </w:r>
          </w:p>
        </w:tc>
        <w:tc>
          <w:tcPr/>
          <w:p>
            <w:pPr>
              <w:pStyle w:val="Compact"/>
            </w:pPr>
            <w:r>
              <w:t xml:space="preserve">-67.7%</w:t>
            </w:r>
          </w:p>
        </w:tc>
      </w:tr>
      <w:tr>
        <w:tc>
          <w:tcPr/>
          <w:p>
            <w:pPr>
              <w:pStyle w:val="Compact"/>
            </w:pPr>
            <w:r>
              <w:t xml:space="preserve">Bull</w:t>
            </w:r>
          </w:p>
        </w:tc>
        <w:tc>
          <w:tcPr/>
          <w:p>
            <w:pPr>
              <w:pStyle w:val="Compact"/>
            </w:pPr>
            <w:r>
              <w:t xml:space="preserve">65.2%</w:t>
            </w:r>
          </w:p>
        </w:tc>
        <w:tc>
          <w:tcPr/>
          <w:p>
            <w:pPr>
              <w:pStyle w:val="Compact"/>
            </w:pPr>
            <w:r>
              <w:t xml:space="preserve">51.7%</w:t>
            </w:r>
          </w:p>
        </w:tc>
        <w:tc>
          <w:tcPr/>
          <w:p>
            <w:pPr>
              <w:pStyle w:val="Compact"/>
            </w:pPr>
            <w:r>
              <w:t xml:space="preserve">12.7%</w:t>
            </w:r>
          </w:p>
        </w:tc>
        <w:tc>
          <w:tcPr/>
          <w:p>
            <w:pPr>
              <w:pStyle w:val="Compact"/>
            </w:pPr>
            <w:r>
              <w:t xml:space="preserve">3.5%</w:t>
            </w:r>
          </w:p>
        </w:tc>
        <w:tc>
          <w:tcPr/>
          <w:p>
            <w:pPr>
              <w:pStyle w:val="Compact"/>
            </w:pPr>
            <w:r>
              <w:t xml:space="preserve">25.0%</w:t>
            </w:r>
          </w:p>
        </w:tc>
        <w:tc>
          <w:tcPr/>
          <w:p>
            <w:pPr>
              <w:pStyle w:val="Compact"/>
            </w:pPr>
            <w:r>
              <w:t xml:space="preserve">$135.60</w:t>
            </w:r>
          </w:p>
        </w:tc>
        <w:tc>
          <w:tcPr/>
          <w:p>
            <w:pPr>
              <w:pStyle w:val="Compact"/>
            </w:pPr>
            <w:r>
              <w:t xml:space="preserve">-35.0%</w:t>
            </w:r>
          </w:p>
        </w:tc>
      </w:tr>
    </w:tbl>
    <w:p>
      <w:pPr>
        <w:pStyle w:val="BodyText"/>
      </w:pPr>
      <w:r>
        <w:t xml:space="preserve">Probability-weighted value</w:t>
      </w:r>
      <w:r>
        <w:t xml:space="preserve"> </w:t>
      </w:r>
      <w:r>
        <w:rPr>
          <w:b/>
          <w:bCs/>
        </w:rPr>
        <w:t xml:space="preserve">$73.43</w:t>
      </w:r>
      <w:r>
        <w:t xml:space="preserve"> </w:t>
      </w:r>
      <w:r>
        <w:t xml:space="preserve">(-64.8% vs price).</w:t>
      </w:r>
    </w:p>
    <w:bookmarkEnd w:id="45"/>
    <w:bookmarkStart w:id="46" w:name="Xfc75fe43efc4114f7d3862e568337603baeb829"/>
    <w:p>
      <w:pPr>
        <w:pStyle w:val="Heading2"/>
      </w:pPr>
      <w:r>
        <w:t xml:space="preserve">8. Valuation: DCF / Reverse DCF / ROIC-WACC / comps / sensitivity</w:t>
      </w:r>
    </w:p>
    <w:p>
      <w:pPr>
        <w:pStyle w:val="Compact"/>
        <w:numPr>
          <w:ilvl w:val="0"/>
          <w:numId w:val="1013"/>
        </w:numPr>
      </w:pPr>
      <w:r>
        <w:t xml:space="preserve">Base DCF EV 152.8 bn USD; terminal share 51.6%.</w:t>
      </w:r>
    </w:p>
    <w:p>
      <w:pPr>
        <w:pStyle w:val="Compact"/>
        <w:numPr>
          <w:ilvl w:val="0"/>
          <w:numId w:val="1013"/>
        </w:numPr>
      </w:pPr>
      <w:r>
        <w:rPr>
          <w:b/>
          <w:bCs/>
        </w:rPr>
        <w:t xml:space="preserve">Reverse DCF</w:t>
      </w:r>
      <w:r>
        <w:t xml:space="preserve">: at Base margin/WACC the price implies Y1 revenue growth ≈</w:t>
      </w:r>
      <w:r>
        <w:t xml:space="preserve"> </w:t>
      </w:r>
      <w:r>
        <w:rPr>
          <w:b/>
          <w:bCs/>
        </w:rPr>
        <w:t xml:space="preserve">88.0%</w:t>
      </w:r>
      <w:r>
        <w:t xml:space="preserve"> </w:t>
      </w:r>
      <w:r>
        <w:t xml:space="preserve">vs consensus FY+1 50.1%.</w:t>
      </w:r>
    </w:p>
    <w:p>
      <w:pPr>
        <w:pStyle w:val="Compact"/>
        <w:numPr>
          <w:ilvl w:val="0"/>
          <w:numId w:val="1013"/>
        </w:numPr>
      </w:pPr>
      <w:r>
        <w:t xml:space="preserve">WACC (CAPM) = rf 5.2% + β 1.60 × ERP 5.0% = 13.2%.</w:t>
      </w:r>
    </w:p>
    <w:p>
      <w:pPr>
        <w:pStyle w:val="Compact"/>
        <w:numPr>
          <w:ilvl w:val="0"/>
          <w:numId w:val="1013"/>
        </w:numPr>
      </w:pPr>
      <w:r>
        <w:t xml:space="preserve">SOTP segments: US Government </w:t>
      </w:r>
      <w:r>
        <w:rPr>
          <w:rFonts w:hint="eastAsia"/>
        </w:rPr>
        <w:t xml:space="preserve">美国政府;</w:t>
      </w:r>
      <w:r>
        <w:t xml:space="preserve"> US Commercial </w:t>
      </w:r>
      <w:r>
        <w:rPr>
          <w:rFonts w:hint="eastAsia"/>
        </w:rPr>
        <w:t xml:space="preserve">美国商业;</w:t>
      </w:r>
      <w:r>
        <w:t xml:space="preserve"> International </w:t>
      </w:r>
      <w:r>
        <w:rPr>
          <w:rFonts w:hint="eastAsia"/>
        </w:rPr>
        <w:t xml:space="preserve">国际</w:t>
      </w:r>
      <w:r>
        <w:t xml:space="preserve"> — framework only; segment revenue inputs pending from filings.</w:t>
      </w:r>
    </w:p>
    <w:p>
      <w:pPr>
        <w:pStyle w:val="Compact"/>
        <w:numPr>
          <w:ilvl w:val="0"/>
          <w:numId w:val="1013"/>
        </w:numPr>
      </w:pPr>
      <w:r>
        <w:t xml:space="preserve">Comps (DATA): see table in Chinese section / Excel</w:t>
      </w:r>
      <w:r>
        <w:t xml:space="preserve"> </w:t>
      </w:r>
      <w:r>
        <w:rPr>
          <w:rStyle w:val="VerbatimChar"/>
        </w:rPr>
        <w:t xml:space="preserve">Comps</w:t>
      </w:r>
      <w:r>
        <w:t xml:space="preserve">.</w:t>
      </w:r>
    </w:p>
    <w:p>
      <w:pPr>
        <w:pStyle w:val="Compact"/>
        <w:numPr>
          <w:ilvl w:val="0"/>
          <w:numId w:val="1013"/>
        </w:numPr>
      </w:pPr>
      <w:r>
        <w:t xml:space="preserve">Sensitivity: Excel</w:t>
      </w:r>
      <w:r>
        <w:t xml:space="preserve"> </w:t>
      </w:r>
      <w:r>
        <w:rPr>
          <w:rStyle w:val="VerbatimChar"/>
        </w:rPr>
        <w:t xml:space="preserve">Sensitivity</w:t>
      </w:r>
      <w:r>
        <w:t xml:space="preserve"> </w:t>
      </w:r>
      <w:r>
        <w:t xml:space="preserve">(WACC × terminal g).</w:t>
      </w:r>
    </w:p>
    <w:bookmarkEnd w:id="46"/>
    <w:bookmarkStart w:id="47" w:name="risks-counterarguments-falsifiers"/>
    <w:p>
      <w:pPr>
        <w:pStyle w:val="Heading2"/>
      </w:pPr>
      <w:r>
        <w:t xml:space="preserve">9. Risks, counterarguments, falsifiers</w:t>
      </w:r>
    </w:p>
    <w:p>
      <w:pPr>
        <w:pStyle w:val="FirstParagraph"/>
      </w:pPr>
      <w:r>
        <w:t xml:space="preserve">Multiple compression; gov budget delays (shutdown/CR); </w:t>
      </w:r>
      <w:r>
        <w:rPr>
          <w:rFonts w:hint="eastAsia"/>
        </w:rPr>
        <w:t xml:space="preserve">competition｜估值压缩；政府预算延迟；竞争</w:t>
      </w:r>
      <w:r>
        <w:t xml:space="preserve"> | Falsifiers: US commercial growth decelerates sharply; net dollar retention falls; RPO </w:t>
      </w:r>
      <w:r>
        <w:rPr>
          <w:rFonts w:hint="eastAsia"/>
        </w:rPr>
        <w:t xml:space="preserve">stalls｜美国商业增速骤降；净留存率下降；RPO停滞</w:t>
      </w:r>
    </w:p>
    <w:bookmarkEnd w:id="47"/>
    <w:bookmarkStart w:id="48" w:name="X5f84632c184460920f9e7b36d3f64b5580c3064"/>
    <w:p>
      <w:pPr>
        <w:pStyle w:val="Heading2"/>
      </w:pPr>
      <w:r>
        <w:t xml:space="preserve">10–12. Source Ledger / Assumption Register / Model Provenance</w:t>
      </w:r>
    </w:p>
    <w:p>
      <w:pPr>
        <w:pStyle w:val="FirstParagraph"/>
      </w:pPr>
      <w:r>
        <w:t xml:space="preserve">See tables above (shared, bilingual). - Model file:</w:t>
      </w:r>
      <w:r>
        <w:t xml:space="preserve"> </w:t>
      </w:r>
      <w:r>
        <w:rPr>
          <w:rStyle w:val="VerbatimChar"/>
        </w:rPr>
        <w:t xml:space="preserve">PLTR_model_v20261014-0758.xlsx</w:t>
      </w:r>
      <w:r>
        <w:t xml:space="preserve"> </w:t>
      </w:r>
      <w:r>
        <w:t xml:space="preserve">(live formulas; sheets Inputs→Scenarios→DCF→ReverseDCF→Sensitivity→Horizons→SOTP→Comps→ROIC_WACC→History→Sources→Assumptions)</w:t>
      </w:r>
      <w:r>
        <w:t xml:space="preserve"> </w:t>
      </w:r>
      <w:r>
        <w:t xml:space="preserve">- 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r>
        <w:t xml:space="preserve"> </w:t>
      </w:r>
      <w:r>
        <w:t xml:space="preserve">- Data snapshot:</w:t>
      </w:r>
      <w:r>
        <w:t xml:space="preserve"> </w:t>
      </w:r>
      <w:r>
        <w:rPr>
          <w:rStyle w:val="VerbatimChar"/>
        </w:rPr>
        <w:t xml:space="preserve">data/snapshots/20261014-0758</w:t>
      </w:r>
      <w:r>
        <w:t xml:space="preserve"> </w:t>
      </w:r>
      <w:r>
        <w:t xml:space="preserve">(immutable) | Fetched 2026-10-14 07:58 SGT | Generated 2026-10-14 07:59 SGT</w:t>
      </w:r>
      <w:r>
        <w:t xml:space="preserve"> </w:t>
      </w:r>
      <w:r>
        <w:t xml:space="preserve">- Version: v20261014-0758. Prior versions are never overwritten (see company history page).</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2026-10-14T00:00:04Z</dcterms:created>
  <dcterms:modified xsi:type="dcterms:W3CDTF">2026-10-14T00:00:04Z</dcterms:modified>
</cp:coreProperties>
</file>

<file path=docProps/custom.xml><?xml version="1.0" encoding="utf-8"?>
<Properties xmlns="http://schemas.openxmlformats.org/officeDocument/2006/custom-properties" xmlns:vt="http://schemas.openxmlformats.org/officeDocument/2006/docPropsVTypes"/>
</file>