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62a4811b8d55ebe8ae5e5b5ee973893ff5db79d"/>
    <w:p>
      <w:pPr>
        <w:pStyle w:val="Heading1"/>
      </w:pPr>
      <w:r>
        <w:t xml:space="preserve">RKLB Rocket Lab Corporation — </w:t>
      </w:r>
      <w:r>
        <w:rPr>
          <w:rFonts w:hint="eastAsia"/>
        </w:rPr>
        <w:t xml:space="preserve">个股深度研究</w:t>
      </w:r>
      <w:r>
        <w:t xml:space="preserve"> </w:t>
      </w:r>
      <w:r>
        <w:rPr>
          <w:rFonts w:hint="eastAsia"/>
        </w:rPr>
        <w:t xml:space="preserve">(专业中文版)</w:t>
      </w:r>
      <w:r>
        <w:t xml:space="preserve"> v20261013-1622</w:t>
      </w:r>
    </w:p>
    <w:p>
      <w:pPr>
        <w:pStyle w:val="BlockText"/>
      </w:pPr>
      <w:r>
        <w:rPr>
          <w:rFonts w:hint="eastAsia"/>
        </w:rPr>
        <w:t xml:space="preserve">数据截至</w:t>
      </w:r>
      <w:r>
        <w:t xml:space="preserve"> 2026-10-13 16:22 </w:t>
      </w:r>
      <w:r>
        <w:rPr>
          <w:rFonts w:hint="eastAsia"/>
        </w:rPr>
        <w:t xml:space="preserve">SGT｜价格</w:t>
      </w:r>
      <w:r>
        <w:t xml:space="preserve"> </w:t>
      </w:r>
      <w:r>
        <w:rPr>
          <w:rFonts w:hint="eastAsia"/>
        </w:rPr>
        <w:t xml:space="preserve">$65.71｜市值</w:t>
      </w:r>
      <w:r>
        <w:t xml:space="preserve"> 42.0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t xml:space="preserve">Rocket </w:t>
      </w:r>
      <w:r>
        <w:rPr>
          <w:rFonts w:hint="eastAsia"/>
        </w:rPr>
        <w:t xml:space="preserve">Lab是’第二个SpaceX’叙事标的，Neutron中型火箭是关键拐点；目前FCF为负，估值依赖长期市场份额假设。</w:t>
      </w:r>
    </w:p>
    <w:p>
      <w:pPr>
        <w:pStyle w:val="Compact"/>
        <w:numPr>
          <w:ilvl w:val="0"/>
          <w:numId w:val="1001"/>
        </w:numPr>
      </w:pPr>
      <w:r>
        <w:rPr>
          <w:rFonts w:hint="eastAsia"/>
          <w:b/>
          <w:bCs/>
        </w:rPr>
        <w:t xml:space="preserve">多头驱动</w:t>
      </w:r>
      <w:r>
        <w:t xml:space="preserve">: Neutron flies successfully and wins NSSL/constellation </w:t>
      </w:r>
      <w:r>
        <w:rPr>
          <w:rFonts w:hint="eastAsia"/>
        </w:rPr>
        <w:t xml:space="preserve">work｜Neutron成功并获国家安全/星座订单</w:t>
      </w:r>
    </w:p>
    <w:p>
      <w:pPr>
        <w:pStyle w:val="Compact"/>
        <w:numPr>
          <w:ilvl w:val="0"/>
          <w:numId w:val="1001"/>
        </w:numPr>
      </w:pPr>
      <w:r>
        <w:rPr>
          <w:rFonts w:hint="eastAsia"/>
          <w:b/>
          <w:bCs/>
        </w:rPr>
        <w:t xml:space="preserve">空头驱动</w:t>
      </w:r>
      <w:r>
        <w:t xml:space="preserve">: Neutron delays; SpaceX price competition; </w:t>
      </w:r>
      <w:r>
        <w:rPr>
          <w:rFonts w:hint="eastAsia"/>
        </w:rPr>
        <w:t xml:space="preserve">dilution｜Neutron延期；SpaceX压价；稀释</w:t>
      </w:r>
    </w:p>
    <w:p>
      <w:pPr>
        <w:pStyle w:val="Compact"/>
        <w:numPr>
          <w:ilvl w:val="0"/>
          <w:numId w:val="1001"/>
        </w:numPr>
      </w:pPr>
      <w:r>
        <w:rPr>
          <w:rFonts w:hint="eastAsia"/>
          <w:b/>
          <w:bCs/>
        </w:rPr>
        <w:t xml:space="preserve">证伪条件</w:t>
      </w:r>
      <w:r>
        <w:rPr>
          <w:b/>
          <w:bCs/>
        </w:rPr>
        <w:t xml:space="preserve"> Falsifiers</w:t>
      </w:r>
      <w:r>
        <w:t xml:space="preserve">: Neutron slip beyond guided window; backlog growth </w:t>
      </w:r>
      <w:r>
        <w:rPr>
          <w:rFonts w:hint="eastAsia"/>
        </w:rPr>
        <w:t xml:space="preserve">stalls｜Neutron超出指引窗口；积压停滞</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Small/medium launch + space systems </w:t>
      </w:r>
      <w:r>
        <w:rPr>
          <w:rFonts w:hint="eastAsia"/>
        </w:rPr>
        <w:t xml:space="preserve">中小型发射+航天系统</w:t>
      </w:r>
    </w:p>
    <w:p>
      <w:pPr>
        <w:pStyle w:val="Compact"/>
        <w:numPr>
          <w:ilvl w:val="0"/>
          <w:numId w:val="1002"/>
        </w:numPr>
      </w:pPr>
      <w:r>
        <w:rPr>
          <w:rFonts w:hint="eastAsia"/>
        </w:rPr>
        <w:t xml:space="preserve">业务分部</w:t>
      </w:r>
      <w:r>
        <w:t xml:space="preserve"> Segments: Launch services </w:t>
      </w:r>
      <w:r>
        <w:rPr>
          <w:rFonts w:hint="eastAsia"/>
        </w:rPr>
        <w:t xml:space="preserve">发射服务；Space</w:t>
      </w:r>
      <w:r>
        <w:t xml:space="preserve"> systems </w:t>
      </w:r>
      <w:r>
        <w:rPr>
          <w:rFonts w:hint="eastAsia"/>
        </w:rPr>
        <w:t xml:space="preserve">航天系统</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Rocket Lab Corporation, a space company, provides launch services and space systems solutions in the United States, Canada, Japan, and internationally. The company operates through launch services and space systems segments. The company provides launch services, spacecraft design services, spacecraft components, spacecraft manufacturing, optical systems, and other spacecraft and on-orbit management solutions and constellation management services, as well as designs and manufactures small and medium-class rockets and develops flight and ground software. It also designs, manufactures, and sells Electron, an orbital small launch vehicle for small spacecraft launch services, as well as develops Neutron launch vehicles for large constellation deployments, interplanetary missions, and potentially for human spaceflight. In addition, the company designs and manufactures a range of components and</w:t>
      </w:r>
    </w:p>
    <w:p>
      <w:pPr>
        <w:pStyle w:val="Compact"/>
        <w:numPr>
          <w:ilvl w:val="0"/>
          <w:numId w:val="1002"/>
        </w:numPr>
      </w:pPr>
      <w:r>
        <w:rPr>
          <w:rFonts w:hint="eastAsia"/>
        </w:rPr>
        <w:t xml:space="preserve">主要客户:</w:t>
      </w:r>
      <w:r>
        <w:t xml:space="preserve"> NASA, US Space Force/SDA, commercial </w:t>
      </w:r>
      <w:r>
        <w:rPr>
          <w:rFonts w:hint="eastAsia"/>
        </w:rPr>
        <w:t xml:space="preserve">constellations｜NASA、美国太空军/SDA、商业星座</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In-house (solar, reaction wheels via acquisitions), carbon </w:t>
      </w:r>
      <w:r>
        <w:rPr>
          <w:rFonts w:hint="eastAsia"/>
        </w:rPr>
        <w:t xml:space="preserve">composites｜自研(收购获得太阳翼、飞轮)、碳复合材料</w:t>
      </w:r>
    </w:p>
    <w:p>
      <w:pPr>
        <w:pStyle w:val="Compact"/>
        <w:numPr>
          <w:ilvl w:val="0"/>
          <w:numId w:val="1003"/>
        </w:numPr>
      </w:pPr>
      <w:r>
        <w:rPr>
          <w:rFonts w:hint="eastAsia"/>
        </w:rPr>
        <w:t xml:space="preserve">竞争者</w:t>
      </w:r>
      <w:r>
        <w:t xml:space="preserve"> </w:t>
      </w:r>
      <w:r>
        <w:rPr>
          <w:rFonts w:hint="eastAsia"/>
        </w:rPr>
        <w:t xml:space="preserve">(含业外):</w:t>
      </w:r>
      <w:r>
        <w:t xml:space="preserve"> SpaceX, Firefly, Relativity, Blue Origin; satellite </w:t>
      </w:r>
      <w:r>
        <w:rPr>
          <w:rFonts w:hint="eastAsia"/>
        </w:rPr>
        <w:t xml:space="preserve">primes｜SpaceX、Firefly、Relativity、Blue</w:t>
      </w:r>
      <w:r>
        <w:t xml:space="preserve"> Origin</w:t>
      </w:r>
    </w:p>
    <w:p>
      <w:pPr>
        <w:pStyle w:val="Compact"/>
        <w:numPr>
          <w:ilvl w:val="0"/>
          <w:numId w:val="1003"/>
        </w:numPr>
      </w:pPr>
      <w:r>
        <w:rPr>
          <w:rFonts w:hint="eastAsia"/>
        </w:rPr>
        <w:t xml:space="preserve">瓶颈/监管:</w:t>
      </w:r>
      <w:r>
        <w:t xml:space="preserve"> Neutron first flight &amp; cadence, SDA contract </w:t>
      </w:r>
      <w:r>
        <w:rPr>
          <w:rFonts w:hint="eastAsia"/>
        </w:rPr>
        <w:t xml:space="preserve">execution｜Neutron首飞与节奏、SDA合同执行</w:t>
      </w:r>
    </w:p>
    <w:p>
      <w:pPr>
        <w:pStyle w:val="Compact"/>
        <w:numPr>
          <w:ilvl w:val="0"/>
          <w:numId w:val="1003"/>
        </w:numPr>
      </w:pPr>
      <w:r>
        <w:rPr>
          <w:rFonts w:hint="eastAsia"/>
        </w:rPr>
        <w:t xml:space="preserve">关键KPI:</w:t>
      </w:r>
      <w:r>
        <w:t xml:space="preserve"> Backlog, launches, Neutron milestones, GM%, cash </w:t>
      </w:r>
      <w:r>
        <w:rPr>
          <w:rFonts w:hint="eastAsia"/>
        </w:rPr>
        <w:t xml:space="preserve">burn｜积压订单、发射次数、Neutron里程碑、毛利率、现金消耗</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0.2 bn USD</w:t>
            </w:r>
          </w:p>
        </w:tc>
        <w:tc>
          <w:tcPr/>
          <w:p>
            <w:pPr>
              <w:pStyle w:val="Compact"/>
            </w:pPr>
            <w:r>
              <w:t xml:space="preserve">84.6 mn USD</w:t>
            </w:r>
          </w:p>
        </w:tc>
        <w:tc>
          <w:tcPr/>
          <w:p>
            <w:pPr>
              <w:pStyle w:val="Compact"/>
            </w:pPr>
            <w:r>
              <w:t xml:space="preserve">-57.5 mn USD</w:t>
            </w:r>
          </w:p>
        </w:tc>
        <w:tc>
          <w:tcPr/>
          <w:p>
            <w:pPr>
              <w:pStyle w:val="Compact"/>
            </w:pPr>
            <w:r>
              <w:t xml:space="preserve">-49.3 mn USD</w:t>
            </w:r>
          </w:p>
        </w:tc>
        <w:tc>
          <w:tcPr/>
          <w:p>
            <w:pPr>
              <w:pStyle w:val="Compact"/>
            </w:pPr>
            <w:r>
              <w:t xml:space="preserve">-0.1 bn USD</w:t>
            </w:r>
          </w:p>
        </w:tc>
        <w:tc>
          <w:tcPr/>
          <w:p>
            <w:pPr>
              <w:pStyle w:val="Compact"/>
            </w:pPr>
            <w:r>
              <w:t xml:space="preserve">-24.6%</w:t>
            </w:r>
          </w:p>
        </w:tc>
      </w:tr>
      <w:tr>
        <w:tc>
          <w:tcPr/>
          <w:p>
            <w:pPr>
              <w:pStyle w:val="Compact"/>
            </w:pPr>
            <w:r>
              <w:t xml:space="preserve">2026-03-31</w:t>
            </w:r>
          </w:p>
        </w:tc>
        <w:tc>
          <w:tcPr/>
          <w:p>
            <w:pPr>
              <w:pStyle w:val="Compact"/>
            </w:pPr>
            <w:r>
              <w:t xml:space="preserve">0.2 bn USD</w:t>
            </w:r>
          </w:p>
        </w:tc>
        <w:tc>
          <w:tcPr/>
          <w:p>
            <w:pPr>
              <w:pStyle w:val="Compact"/>
            </w:pPr>
            <w:r>
              <w:t xml:space="preserve">76.5 mn USD</w:t>
            </w:r>
          </w:p>
        </w:tc>
        <w:tc>
          <w:tcPr/>
          <w:p>
            <w:pPr>
              <w:pStyle w:val="Compact"/>
            </w:pPr>
            <w:r>
              <w:t xml:space="preserve">-56.0 mn USD</w:t>
            </w:r>
          </w:p>
        </w:tc>
        <w:tc>
          <w:tcPr/>
          <w:p>
            <w:pPr>
              <w:pStyle w:val="Compact"/>
            </w:pPr>
            <w:r>
              <w:t xml:space="preserve">-45.0 mn USD</w:t>
            </w:r>
          </w:p>
        </w:tc>
        <w:tc>
          <w:tcPr/>
          <w:p>
            <w:pPr>
              <w:pStyle w:val="Compact"/>
            </w:pPr>
            <w:r>
              <w:t xml:space="preserve">-77.4 mn USD</w:t>
            </w:r>
          </w:p>
        </w:tc>
        <w:tc>
          <w:tcPr/>
          <w:p>
            <w:pPr>
              <w:pStyle w:val="Compact"/>
            </w:pPr>
            <w:r>
              <w:t xml:space="preserve">-27.9%</w:t>
            </w:r>
          </w:p>
        </w:tc>
      </w:tr>
      <w:tr>
        <w:tc>
          <w:tcPr/>
          <w:p>
            <w:pPr>
              <w:pStyle w:val="Compact"/>
            </w:pPr>
            <w:r>
              <w:t xml:space="preserve">2025-12-31</w:t>
            </w:r>
          </w:p>
        </w:tc>
        <w:tc>
          <w:tcPr/>
          <w:p>
            <w:pPr>
              <w:pStyle w:val="Compact"/>
            </w:pPr>
            <w:r>
              <w:t xml:space="preserve">0.2 bn USD</w:t>
            </w:r>
          </w:p>
        </w:tc>
        <w:tc>
          <w:tcPr/>
          <w:p>
            <w:pPr>
              <w:pStyle w:val="Compact"/>
            </w:pPr>
            <w:r>
              <w:t xml:space="preserve">68.2 mn USD</w:t>
            </w:r>
          </w:p>
        </w:tc>
        <w:tc>
          <w:tcPr/>
          <w:p>
            <w:pPr>
              <w:pStyle w:val="Compact"/>
            </w:pPr>
            <w:r>
              <w:t xml:space="preserve">-51.0 mn USD</w:t>
            </w:r>
          </w:p>
        </w:tc>
        <w:tc>
          <w:tcPr/>
          <w:p>
            <w:pPr>
              <w:pStyle w:val="Compact"/>
            </w:pPr>
            <w:r>
              <w:t xml:space="preserve">-52.9 mn USD</w:t>
            </w:r>
          </w:p>
        </w:tc>
        <w:tc>
          <w:tcPr/>
          <w:p>
            <w:pPr>
              <w:pStyle w:val="Compact"/>
            </w:pPr>
            <w:r>
              <w:t xml:space="preserve">-0.1 bn USD</w:t>
            </w:r>
          </w:p>
        </w:tc>
        <w:tc>
          <w:tcPr/>
          <w:p>
            <w:pPr>
              <w:pStyle w:val="Compact"/>
            </w:pPr>
            <w:r>
              <w:t xml:space="preserve">-28.4%</w:t>
            </w:r>
          </w:p>
        </w:tc>
      </w:tr>
      <w:tr>
        <w:tc>
          <w:tcPr/>
          <w:p>
            <w:pPr>
              <w:pStyle w:val="Compact"/>
            </w:pPr>
            <w:r>
              <w:t xml:space="preserve">2025-09-30</w:t>
            </w:r>
          </w:p>
        </w:tc>
        <w:tc>
          <w:tcPr/>
          <w:p>
            <w:pPr>
              <w:pStyle w:val="Compact"/>
            </w:pPr>
            <w:r>
              <w:t xml:space="preserve">0.2 bn USD</w:t>
            </w:r>
          </w:p>
        </w:tc>
        <w:tc>
          <w:tcPr/>
          <w:p>
            <w:pPr>
              <w:pStyle w:val="Compact"/>
            </w:pPr>
            <w:r>
              <w:t xml:space="preserve">57.3 mn USD</w:t>
            </w:r>
          </w:p>
        </w:tc>
        <w:tc>
          <w:tcPr/>
          <w:p>
            <w:pPr>
              <w:pStyle w:val="Compact"/>
            </w:pPr>
            <w:r>
              <w:t xml:space="preserve">-59.0 mn USD</w:t>
            </w:r>
          </w:p>
        </w:tc>
        <w:tc>
          <w:tcPr/>
          <w:p>
            <w:pPr>
              <w:pStyle w:val="Compact"/>
            </w:pPr>
            <w:r>
              <w:t xml:space="preserve">-18.3 mn USD</w:t>
            </w:r>
          </w:p>
        </w:tc>
        <w:tc>
          <w:tcPr/>
          <w:p>
            <w:pPr>
              <w:pStyle w:val="Compact"/>
            </w:pPr>
            <w:r>
              <w:t xml:space="preserve">-69.4 mn USD</w:t>
            </w:r>
          </w:p>
        </w:tc>
        <w:tc>
          <w:tcPr/>
          <w:p>
            <w:pPr>
              <w:pStyle w:val="Compact"/>
            </w:pPr>
            <w:r>
              <w:t xml:space="preserve">-38.0%</w:t>
            </w:r>
          </w:p>
        </w:tc>
      </w:tr>
      <w:tr>
        <w:tc>
          <w:tcPr/>
          <w:p>
            <w:pPr>
              <w:pStyle w:val="Compact"/>
            </w:pPr>
            <w:r>
              <w:t xml:space="preserve">2025-06-30</w:t>
            </w:r>
          </w:p>
        </w:tc>
        <w:tc>
          <w:tcPr/>
          <w:p>
            <w:pPr>
              <w:pStyle w:val="Compact"/>
            </w:pPr>
            <w:r>
              <w:t xml:space="preserve">0.1 bn USD</w:t>
            </w:r>
          </w:p>
        </w:tc>
        <w:tc>
          <w:tcPr/>
          <w:p>
            <w:pPr>
              <w:pStyle w:val="Compact"/>
            </w:pPr>
            <w:r>
              <w:t xml:space="preserve">46.4 mn USD</w:t>
            </w:r>
          </w:p>
        </w:tc>
        <w:tc>
          <w:tcPr/>
          <w:p>
            <w:pPr>
              <w:pStyle w:val="Compact"/>
            </w:pPr>
            <w:r>
              <w:t xml:space="preserve">-59.6 mn USD</w:t>
            </w:r>
          </w:p>
        </w:tc>
        <w:tc>
          <w:tcPr/>
          <w:p>
            <w:pPr>
              <w:pStyle w:val="Compact"/>
            </w:pPr>
            <w:r>
              <w:t xml:space="preserve">-66.4 mn USD</w:t>
            </w:r>
          </w:p>
        </w:tc>
        <w:tc>
          <w:tcPr/>
          <w:p>
            <w:pPr>
              <w:pStyle w:val="Compact"/>
            </w:pPr>
            <w:r>
              <w:t xml:space="preserve">-55.3 mn USD</w:t>
            </w:r>
          </w:p>
        </w:tc>
        <w:tc>
          <w:tcPr/>
          <w:p>
            <w:pPr>
              <w:pStyle w:val="Compact"/>
            </w:pPr>
            <w:r>
              <w:t xml:space="preserve">-41.3%</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2.3 bn </w:t>
      </w:r>
      <w:r>
        <w:rPr>
          <w:rFonts w:hint="eastAsia"/>
        </w:rPr>
        <w:t xml:space="preserve">USD；总负债</w:t>
      </w:r>
      <w:r>
        <w:t xml:space="preserve"> 0.1 bn </w:t>
      </w:r>
      <w:r>
        <w:rPr>
          <w:rFonts w:hint="eastAsia"/>
        </w:rPr>
        <w:t xml:space="preserve">USD；净现金</w:t>
      </w:r>
      <w:r>
        <w:t xml:space="preserve"> 2.2 bn USD。TTM FCF -0.4 bn </w:t>
      </w:r>
      <w:r>
        <w:rPr>
          <w:rFonts w:hint="eastAsia"/>
        </w:rPr>
        <w:t xml:space="preserve">USD（FCF率</w:t>
      </w:r>
      <w:r>
        <w:t xml:space="preserve"> </w:t>
      </w:r>
      <w:r>
        <w:rPr>
          <w:rFonts w:hint="eastAsia"/>
        </w:rPr>
        <w:t xml:space="preserve">-48.3%）。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-0.03</w:t>
            </w:r>
          </w:p>
        </w:tc>
        <w:tc>
          <w:tcPr/>
          <w:p>
            <w:pPr>
              <w:pStyle w:val="Compact"/>
            </w:pPr>
            <w:r>
              <w:t xml:space="preserve">-0.10452</w:t>
            </w:r>
          </w:p>
        </w:tc>
        <w:tc>
          <w:tcPr/>
          <w:p>
            <w:pPr>
              <w:pStyle w:val="Compact"/>
            </w:pPr>
            <w:r>
              <w:t xml:space="preserve">0.71300006</w:t>
            </w:r>
          </w:p>
        </w:tc>
      </w:tr>
      <w:tr>
        <w:tc>
          <w:tcPr/>
          <w:p>
            <w:pPr>
              <w:pStyle w:val="Compact"/>
            </w:pPr>
            <w:r>
              <w:t xml:space="preserve">2025-12-31</w:t>
            </w:r>
          </w:p>
        </w:tc>
        <w:tc>
          <w:tcPr/>
          <w:p>
            <w:pPr>
              <w:pStyle w:val="Compact"/>
            </w:pPr>
            <w:r>
              <w:t xml:space="preserve">-0.09</w:t>
            </w:r>
          </w:p>
        </w:tc>
        <w:tc>
          <w:tcPr/>
          <w:p>
            <w:pPr>
              <w:pStyle w:val="Compact"/>
            </w:pPr>
            <w:r>
              <w:t xml:space="preserve">-0.09803</w:t>
            </w:r>
          </w:p>
        </w:tc>
        <w:tc>
          <w:tcPr/>
          <w:p>
            <w:pPr>
              <w:pStyle w:val="Compact"/>
            </w:pPr>
            <w:r>
              <w:t xml:space="preserve">0.08189999</w:t>
            </w:r>
          </w:p>
        </w:tc>
      </w:tr>
      <w:tr>
        <w:tc>
          <w:tcPr/>
          <w:p>
            <w:pPr>
              <w:pStyle w:val="Compact"/>
            </w:pPr>
            <w:r>
              <w:t xml:space="preserve">2026-03-31</w:t>
            </w:r>
          </w:p>
        </w:tc>
        <w:tc>
          <w:tcPr/>
          <w:p>
            <w:pPr>
              <w:pStyle w:val="Compact"/>
            </w:pPr>
            <w:r>
              <w:t xml:space="preserve">-0.07</w:t>
            </w:r>
          </w:p>
        </w:tc>
        <w:tc>
          <w:tcPr/>
          <w:p>
            <w:pPr>
              <w:pStyle w:val="Compact"/>
            </w:pPr>
            <w:r>
              <w:t xml:space="preserve">-0.07868</w:t>
            </w:r>
          </w:p>
        </w:tc>
        <w:tc>
          <w:tcPr/>
          <w:p>
            <w:pPr>
              <w:pStyle w:val="Compact"/>
            </w:pPr>
            <w:r>
              <w:t xml:space="preserve">0.1103</w:t>
            </w:r>
          </w:p>
        </w:tc>
      </w:tr>
      <w:tr>
        <w:tc>
          <w:tcPr/>
          <w:p>
            <w:pPr>
              <w:pStyle w:val="Compact"/>
            </w:pPr>
            <w:r>
              <w:t xml:space="preserve">2026-06-30</w:t>
            </w:r>
          </w:p>
        </w:tc>
        <w:tc>
          <w:tcPr/>
          <w:p>
            <w:pPr>
              <w:pStyle w:val="Compact"/>
            </w:pPr>
            <w:r>
              <w:t xml:space="preserve">-0.08</w:t>
            </w:r>
          </w:p>
        </w:tc>
        <w:tc>
          <w:tcPr/>
          <w:p>
            <w:pPr>
              <w:pStyle w:val="Compact"/>
            </w:pPr>
            <w:r>
              <w:t xml:space="preserve">-0.07667</w:t>
            </w:r>
          </w:p>
        </w:tc>
        <w:tc>
          <w:tcPr/>
          <w:p>
            <w:pPr>
              <w:pStyle w:val="Compact"/>
            </w:pPr>
            <w:r>
              <w:t xml:space="preserve">-0.0434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2026-11-10</w:t>
      </w:r>
      <w:r>
        <w:rPr>
          <w:rFonts w:hint="eastAsia"/>
        </w:rPr>
        <w:t xml:space="preserve">；本季EPS一致预期</w:t>
      </w:r>
      <w:r>
        <w:t xml:space="preserve"> </w:t>
      </w:r>
      <w:r>
        <w:rPr>
          <w:rFonts w:hint="eastAsia"/>
        </w:rPr>
        <w:t xml:space="preserve">-0.06464（11位分析师）；收入一致预期</w:t>
      </w:r>
      <w:r>
        <w:t xml:space="preserve"> 0.3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$-3.58</w:t>
            </w:r>
          </w:p>
        </w:tc>
        <w:tc>
          <w:tcPr/>
          <w:p>
            <w:pPr>
              <w:pStyle w:val="Compact"/>
            </w:pPr>
            <w:r>
              <w:t xml:space="preserve">-105.4%</w:t>
            </w:r>
          </w:p>
        </w:tc>
      </w:tr>
      <w:tr>
        <w:tc>
          <w:tcPr/>
          <w:p>
            <w:pPr>
              <w:pStyle w:val="Compact"/>
            </w:pPr>
            <w:r>
              <w:t xml:space="preserve">2Q</w:t>
            </w:r>
          </w:p>
        </w:tc>
        <w:tc>
          <w:tcPr/>
          <w:p>
            <w:pPr>
              <w:pStyle w:val="Compact"/>
            </w:pPr>
            <w:r>
              <w:t xml:space="preserve">Base</w:t>
            </w:r>
          </w:p>
        </w:tc>
        <w:tc>
          <w:tcPr/>
          <w:p>
            <w:pPr>
              <w:pStyle w:val="Compact"/>
            </w:pPr>
            <w:r>
              <w:t xml:space="preserve">$-10.72</w:t>
            </w:r>
          </w:p>
        </w:tc>
        <w:tc>
          <w:tcPr/>
          <w:p>
            <w:pPr>
              <w:pStyle w:val="Compact"/>
            </w:pPr>
            <w:r>
              <w:t xml:space="preserve">-116.3%</w:t>
            </w:r>
          </w:p>
        </w:tc>
      </w:tr>
      <w:tr>
        <w:tc>
          <w:tcPr/>
          <w:p>
            <w:pPr>
              <w:pStyle w:val="Compact"/>
            </w:pPr>
            <w:r>
              <w:t xml:space="preserve">2Q</w:t>
            </w:r>
          </w:p>
        </w:tc>
        <w:tc>
          <w:tcPr/>
          <w:p>
            <w:pPr>
              <w:pStyle w:val="Compact"/>
            </w:pPr>
            <w:r>
              <w:t xml:space="preserve">Bull</w:t>
            </w:r>
          </w:p>
        </w:tc>
        <w:tc>
          <w:tcPr/>
          <w:p>
            <w:pPr>
              <w:pStyle w:val="Compact"/>
            </w:pPr>
            <w:r>
              <w:t xml:space="preserve">$-18.43</w:t>
            </w:r>
          </w:p>
        </w:tc>
        <w:tc>
          <w:tcPr/>
          <w:p>
            <w:pPr>
              <w:pStyle w:val="Compact"/>
            </w:pPr>
            <w:r>
              <w:t xml:space="preserve">-128.0%</w:t>
            </w:r>
          </w:p>
        </w:tc>
      </w:tr>
      <w:tr>
        <w:tc>
          <w:tcPr/>
          <w:p>
            <w:pPr>
              <w:pStyle w:val="Compact"/>
            </w:pPr>
            <w:r>
              <w:t xml:space="preserve">4Q</w:t>
            </w:r>
          </w:p>
        </w:tc>
        <w:tc>
          <w:tcPr/>
          <w:p>
            <w:pPr>
              <w:pStyle w:val="Compact"/>
            </w:pPr>
            <w:r>
              <w:t xml:space="preserve">Bear</w:t>
            </w:r>
          </w:p>
        </w:tc>
        <w:tc>
          <w:tcPr/>
          <w:p>
            <w:pPr>
              <w:pStyle w:val="Compact"/>
            </w:pPr>
            <w:r>
              <w:t xml:space="preserve">$-2.59</w:t>
            </w:r>
          </w:p>
        </w:tc>
        <w:tc>
          <w:tcPr/>
          <w:p>
            <w:pPr>
              <w:pStyle w:val="Compact"/>
            </w:pPr>
            <w:r>
              <w:t xml:space="preserve">-103.9%</w:t>
            </w:r>
          </w:p>
        </w:tc>
      </w:tr>
      <w:tr>
        <w:tc>
          <w:tcPr/>
          <w:p>
            <w:pPr>
              <w:pStyle w:val="Compact"/>
            </w:pPr>
            <w:r>
              <w:t xml:space="preserve">4Q</w:t>
            </w:r>
          </w:p>
        </w:tc>
        <w:tc>
          <w:tcPr/>
          <w:p>
            <w:pPr>
              <w:pStyle w:val="Compact"/>
            </w:pPr>
            <w:r>
              <w:t xml:space="preserve">Base</w:t>
            </w:r>
          </w:p>
        </w:tc>
        <w:tc>
          <w:tcPr/>
          <w:p>
            <w:pPr>
              <w:pStyle w:val="Compact"/>
            </w:pPr>
            <w:r>
              <w:t xml:space="preserve">$-9.18</w:t>
            </w:r>
          </w:p>
        </w:tc>
        <w:tc>
          <w:tcPr/>
          <w:p>
            <w:pPr>
              <w:pStyle w:val="Compact"/>
            </w:pPr>
            <w:r>
              <w:t xml:space="preserve">-114.0%</w:t>
            </w:r>
          </w:p>
        </w:tc>
      </w:tr>
      <w:tr>
        <w:tc>
          <w:tcPr/>
          <w:p>
            <w:pPr>
              <w:pStyle w:val="Compact"/>
            </w:pPr>
            <w:r>
              <w:t xml:space="preserve">4Q</w:t>
            </w:r>
          </w:p>
        </w:tc>
        <w:tc>
          <w:tcPr/>
          <w:p>
            <w:pPr>
              <w:pStyle w:val="Compact"/>
            </w:pPr>
            <w:r>
              <w:t xml:space="preserve">Bull</w:t>
            </w:r>
          </w:p>
        </w:tc>
        <w:tc>
          <w:tcPr/>
          <w:p>
            <w:pPr>
              <w:pStyle w:val="Compact"/>
            </w:pPr>
            <w:r>
              <w:t xml:space="preserve">$-16.46</w:t>
            </w:r>
          </w:p>
        </w:tc>
        <w:tc>
          <w:tcPr/>
          <w:p>
            <w:pPr>
              <w:pStyle w:val="Compact"/>
            </w:pPr>
            <w:r>
              <w:t xml:space="preserve">-125.0%</w:t>
            </w:r>
          </w:p>
        </w:tc>
      </w:tr>
      <w:tr>
        <w:tc>
          <w:tcPr/>
          <w:p>
            <w:pPr>
              <w:pStyle w:val="Compact"/>
            </w:pPr>
            <w:r>
              <w:t xml:space="preserve">6Q</w:t>
            </w:r>
          </w:p>
        </w:tc>
        <w:tc>
          <w:tcPr/>
          <w:p>
            <w:pPr>
              <w:pStyle w:val="Compact"/>
            </w:pPr>
            <w:r>
              <w:t xml:space="preserve">Bear</w:t>
            </w:r>
          </w:p>
        </w:tc>
        <w:tc>
          <w:tcPr/>
          <w:p>
            <w:pPr>
              <w:pStyle w:val="Compact"/>
            </w:pPr>
            <w:r>
              <w:t xml:space="preserve">$-1.51</w:t>
            </w:r>
          </w:p>
        </w:tc>
        <w:tc>
          <w:tcPr/>
          <w:p>
            <w:pPr>
              <w:pStyle w:val="Compact"/>
            </w:pPr>
            <w:r>
              <w:t xml:space="preserve">-102.3%</w:t>
            </w:r>
          </w:p>
        </w:tc>
      </w:tr>
      <w:tr>
        <w:tc>
          <w:tcPr/>
          <w:p>
            <w:pPr>
              <w:pStyle w:val="Compact"/>
            </w:pPr>
            <w:r>
              <w:t xml:space="preserve">6Q</w:t>
            </w:r>
          </w:p>
        </w:tc>
        <w:tc>
          <w:tcPr/>
          <w:p>
            <w:pPr>
              <w:pStyle w:val="Compact"/>
            </w:pPr>
            <w:r>
              <w:t xml:space="preserve">Base</w:t>
            </w:r>
          </w:p>
        </w:tc>
        <w:tc>
          <w:tcPr/>
          <w:p>
            <w:pPr>
              <w:pStyle w:val="Compact"/>
            </w:pPr>
            <w:r>
              <w:t xml:space="preserve">$-7.04</w:t>
            </w:r>
          </w:p>
        </w:tc>
        <w:tc>
          <w:tcPr/>
          <w:p>
            <w:pPr>
              <w:pStyle w:val="Compact"/>
            </w:pPr>
            <w:r>
              <w:t xml:space="preserve">-110.7%</w:t>
            </w:r>
          </w:p>
        </w:tc>
      </w:tr>
      <w:tr>
        <w:tc>
          <w:tcPr/>
          <w:p>
            <w:pPr>
              <w:pStyle w:val="Compact"/>
            </w:pPr>
            <w:r>
              <w:t xml:space="preserve">6Q</w:t>
            </w:r>
          </w:p>
        </w:tc>
        <w:tc>
          <w:tcPr/>
          <w:p>
            <w:pPr>
              <w:pStyle w:val="Compact"/>
            </w:pPr>
            <w:r>
              <w:t xml:space="preserve">Bull</w:t>
            </w:r>
          </w:p>
        </w:tc>
        <w:tc>
          <w:tcPr/>
          <w:p>
            <w:pPr>
              <w:pStyle w:val="Compact"/>
            </w:pPr>
            <w:r>
              <w:t xml:space="preserve">$-13.15</w:t>
            </w:r>
          </w:p>
        </w:tc>
        <w:tc>
          <w:tcPr/>
          <w:p>
            <w:pPr>
              <w:pStyle w:val="Compact"/>
            </w:pPr>
            <w:r>
              <w:t xml:space="preserve">-120.0%</w:t>
            </w:r>
          </w:p>
        </w:tc>
      </w:tr>
      <w:tr>
        <w:tc>
          <w:tcPr/>
          <w:p>
            <w:pPr>
              <w:pStyle w:val="Compact"/>
            </w:pPr>
            <w:r>
              <w:t xml:space="preserve">8Q</w:t>
            </w:r>
          </w:p>
        </w:tc>
        <w:tc>
          <w:tcPr/>
          <w:p>
            <w:pPr>
              <w:pStyle w:val="Compact"/>
            </w:pPr>
            <w:r>
              <w:t xml:space="preserve">Bear</w:t>
            </w:r>
          </w:p>
        </w:tc>
        <w:tc>
          <w:tcPr/>
          <w:p>
            <w:pPr>
              <w:pStyle w:val="Compact"/>
            </w:pPr>
            <w:r>
              <w:t xml:space="preserve">$-0.34</w:t>
            </w:r>
          </w:p>
        </w:tc>
        <w:tc>
          <w:tcPr/>
          <w:p>
            <w:pPr>
              <w:pStyle w:val="Compact"/>
            </w:pPr>
            <w:r>
              <w:t xml:space="preserve">-100.5%</w:t>
            </w:r>
          </w:p>
        </w:tc>
      </w:tr>
      <w:tr>
        <w:tc>
          <w:tcPr/>
          <w:p>
            <w:pPr>
              <w:pStyle w:val="Compact"/>
            </w:pPr>
            <w:r>
              <w:t xml:space="preserve">8Q</w:t>
            </w:r>
          </w:p>
        </w:tc>
        <w:tc>
          <w:tcPr/>
          <w:p>
            <w:pPr>
              <w:pStyle w:val="Compact"/>
            </w:pPr>
            <w:r>
              <w:t xml:space="preserve">Base</w:t>
            </w:r>
          </w:p>
        </w:tc>
        <w:tc>
          <w:tcPr/>
          <w:p>
            <w:pPr>
              <w:pStyle w:val="Compact"/>
            </w:pPr>
            <w:r>
              <w:t xml:space="preserve">$-4.18</w:t>
            </w:r>
          </w:p>
        </w:tc>
        <w:tc>
          <w:tcPr/>
          <w:p>
            <w:pPr>
              <w:pStyle w:val="Compact"/>
            </w:pPr>
            <w:r>
              <w:t xml:space="preserve">-106.4%</w:t>
            </w:r>
          </w:p>
        </w:tc>
      </w:tr>
      <w:tr>
        <w:tc>
          <w:tcPr/>
          <w:p>
            <w:pPr>
              <w:pStyle w:val="Compact"/>
            </w:pPr>
            <w:r>
              <w:t xml:space="preserve">8Q</w:t>
            </w:r>
          </w:p>
        </w:tc>
        <w:tc>
          <w:tcPr/>
          <w:p>
            <w:pPr>
              <w:pStyle w:val="Compact"/>
            </w:pPr>
            <w:r>
              <w:t xml:space="preserve">Bull</w:t>
            </w:r>
          </w:p>
        </w:tc>
        <w:tc>
          <w:tcPr/>
          <w:p>
            <w:pPr>
              <w:pStyle w:val="Compact"/>
            </w:pPr>
            <w:r>
              <w:t xml:space="preserve">$-8.11</w:t>
            </w:r>
          </w:p>
        </w:tc>
        <w:tc>
          <w:tcPr/>
          <w:p>
            <w:pPr>
              <w:pStyle w:val="Compact"/>
            </w:pPr>
            <w:r>
              <w:t xml:space="preserve">-112.3%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20.7%</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$4.27</w:t>
            </w:r>
          </w:p>
        </w:tc>
        <w:tc>
          <w:tcPr/>
          <w:p>
            <w:pPr>
              <w:pStyle w:val="Compact"/>
            </w:pPr>
            <w:r>
              <w:t xml:space="preserve">-93.5%</w:t>
            </w:r>
          </w:p>
        </w:tc>
      </w:tr>
      <w:tr>
        <w:tc>
          <w:tcPr/>
          <w:p>
            <w:pPr>
              <w:pStyle w:val="Compact"/>
            </w:pPr>
            <w:r>
              <w:t xml:space="preserve">Base</w:t>
            </w:r>
          </w:p>
        </w:tc>
        <w:tc>
          <w:tcPr/>
          <w:p>
            <w:pPr>
              <w:pStyle w:val="Compact"/>
            </w:pPr>
            <w:r>
              <w:t xml:space="preserve">41.3%</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$8.43</w:t>
            </w:r>
          </w:p>
        </w:tc>
        <w:tc>
          <w:tcPr/>
          <w:p>
            <w:pPr>
              <w:pStyle w:val="Compact"/>
            </w:pPr>
            <w:r>
              <w:t xml:space="preserve">-87.2%</w:t>
            </w:r>
          </w:p>
        </w:tc>
      </w:tr>
      <w:tr>
        <w:tc>
          <w:tcPr/>
          <w:p>
            <w:pPr>
              <w:pStyle w:val="Compact"/>
            </w:pPr>
            <w:r>
              <w:t xml:space="preserve">Bull</w:t>
            </w:r>
          </w:p>
        </w:tc>
        <w:tc>
          <w:tcPr/>
          <w:p>
            <w:pPr>
              <w:pStyle w:val="Compact"/>
            </w:pPr>
            <w:r>
              <w:t xml:space="preserve">53.7%</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$14.80</w:t>
            </w:r>
          </w:p>
        </w:tc>
        <w:tc>
          <w:tcPr/>
          <w:p>
            <w:pPr>
              <w:pStyle w:val="Compact"/>
            </w:pPr>
            <w:r>
              <w:t xml:space="preserve">-77.5%</w:t>
            </w:r>
          </w:p>
        </w:tc>
      </w:tr>
    </w:tbl>
    <w:p>
      <w:pPr>
        <w:pStyle w:val="BodyText"/>
      </w:pPr>
      <w:r>
        <w:rPr>
          <w:rFonts w:hint="eastAsia"/>
        </w:rPr>
        <w:t xml:space="preserve">概率加权价值</w:t>
      </w:r>
      <w:r>
        <w:t xml:space="preserve"> </w:t>
      </w:r>
      <w:r>
        <w:rPr>
          <w:b/>
          <w:bCs/>
        </w:rPr>
        <w:t xml:space="preserve">$8.98</w:t>
      </w:r>
      <w:r>
        <w:rPr>
          <w:rFonts w:hint="eastAsia"/>
        </w:rPr>
        <w:t xml:space="preserve">（相对现价</w:t>
      </w:r>
      <w:r>
        <w:t xml:space="preserve"> </w:t>
      </w:r>
      <w:r>
        <w:rPr>
          <w:rFonts w:hint="eastAsia"/>
        </w:rPr>
        <w:t xml:space="preserve">-86.3%）。</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3.2 bn </w:t>
      </w:r>
      <w:r>
        <w:rPr>
          <w:rFonts w:hint="eastAsia"/>
        </w:rPr>
        <w:t xml:space="preserve">USD；终值占比</w:t>
      </w:r>
      <w:r>
        <w:t xml:space="preserve"> 73.5%。</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115.2%</w:t>
      </w:r>
      <w:r>
        <w:rPr>
          <w:rFonts w:hint="eastAsia"/>
        </w:rPr>
        <w:t xml:space="preserve">；一致预期FY+1增速</w:t>
      </w:r>
      <w:r>
        <w:t xml:space="preserve"> 41.3%。</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Launch services </w:t>
      </w:r>
      <w:r>
        <w:rPr>
          <w:rFonts w:hint="eastAsia"/>
        </w:rPr>
        <w:t xml:space="preserve">发射服务;</w:t>
      </w:r>
      <w:r>
        <w:t xml:space="preserve"> Space systems </w:t>
      </w:r>
      <w:r>
        <w:rPr>
          <w:rFonts w:hint="eastAsia"/>
        </w:rPr>
        <w:t xml:space="preserve">航天系统.</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RKLB | 42.0 bn USD | 48.3x | 1116.0x | 62.0% | 37.3% | -0.9% |</w:t>
      </w:r>
      <w:r>
        <w:t xml:space="preserve"> </w:t>
      </w:r>
      <w:r>
        <w:t xml:space="preserve">| SPCX | 2,154.2 bn USD | 184.3x | 82.2x | 91.9% | 51.9% | N/A |</w:t>
      </w:r>
      <w:r>
        <w:t xml:space="preserve"> </w:t>
      </w:r>
      <w:r>
        <w:t xml:space="preserve">| ASTS | 20.0 bn USD | 144.3x | -40.0x | 2626.6% | 38.9% | -9.0% |</w:t>
      </w:r>
      <w:r>
        <w:t xml:space="preserve"> </w:t>
      </w:r>
      <w:r>
        <w:t xml:space="preserve">| LUNR | 2.1 bn USD | 7.2x | -83.0x | 309.8% | 16.3% | -3.9% |</w:t>
      </w:r>
      <w:r>
        <w:t xml:space="preserve"> </w:t>
      </w:r>
      <w:r>
        <w:t xml:space="preserve">| PL | 5.8 bn USD | 14.4x | -12768.0x | 58.1% | 55.5% | 0.9%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Neutron delays; SpaceX price competition; </w:t>
      </w:r>
      <w:r>
        <w:rPr>
          <w:rFonts w:hint="eastAsia"/>
        </w:rPr>
        <w:t xml:space="preserve">dilution｜Neutron延期；SpaceX压价；稀释</w:t>
      </w:r>
    </w:p>
    <w:p>
      <w:pPr>
        <w:pStyle w:val="Compact"/>
        <w:numPr>
          <w:ilvl w:val="0"/>
          <w:numId w:val="1006"/>
        </w:numPr>
      </w:pPr>
      <w:r>
        <w:rPr>
          <w:rFonts w:hint="eastAsia"/>
        </w:rPr>
        <w:t xml:space="preserve">证伪指标:</w:t>
      </w:r>
      <w:r>
        <w:t xml:space="preserve"> Neutron slip beyond guided window; backlog growth </w:t>
      </w:r>
      <w:r>
        <w:rPr>
          <w:rFonts w:hint="eastAsia"/>
        </w:rPr>
        <w:t xml:space="preserve">stalls｜Neutron超出指引窗口；积压停滞</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65.71</w:t>
            </w:r>
          </w:p>
        </w:tc>
        <w:tc>
          <w:tcPr/>
          <w:p>
            <w:pPr>
              <w:pStyle w:val="Compact"/>
            </w:pPr>
            <w:r>
              <w:t xml:space="preserve">Yahoo Finance quote, fetched 2026-10-13T16:22 SGT</w:t>
            </w:r>
          </w:p>
        </w:tc>
      </w:tr>
      <w:tr>
        <w:tc>
          <w:tcPr/>
          <w:p>
            <w:pPr>
              <w:pStyle w:val="Compact"/>
            </w:pPr>
            <w:r>
              <w:t xml:space="preserve">Market cap </w:t>
            </w:r>
            <w:r>
              <w:rPr>
                <w:rFonts w:hint="eastAsia"/>
              </w:rPr>
              <w:t xml:space="preserve">市值</w:t>
            </w:r>
          </w:p>
        </w:tc>
        <w:tc>
          <w:tcPr/>
          <w:p>
            <w:pPr>
              <w:pStyle w:val="Compact"/>
            </w:pPr>
            <w:r>
              <w:t xml:space="preserve">4.202e+10</w:t>
            </w:r>
          </w:p>
        </w:tc>
        <w:tc>
          <w:tcPr/>
          <w:p>
            <w:pPr>
              <w:pStyle w:val="Compact"/>
            </w:pPr>
            <w:r>
              <w:t xml:space="preserve">Yahoo info.marketCap 2026-10-13T16:22</w:t>
            </w:r>
          </w:p>
        </w:tc>
      </w:tr>
      <w:tr>
        <w:tc>
          <w:tcPr/>
          <w:p>
            <w:pPr>
              <w:pStyle w:val="Compact"/>
            </w:pPr>
            <w:r>
              <w:t xml:space="preserve">Cash </w:t>
            </w:r>
            <w:r>
              <w:rPr>
                <w:rFonts w:hint="eastAsia"/>
              </w:rPr>
              <w:t xml:space="preserve">现金</w:t>
            </w:r>
          </w:p>
        </w:tc>
        <w:tc>
          <w:tcPr/>
          <w:p>
            <w:pPr>
              <w:pStyle w:val="Compact"/>
            </w:pPr>
            <w:r>
              <w:t xml:space="preserve">2.302e+09</w:t>
            </w:r>
          </w:p>
        </w:tc>
        <w:tc>
          <w:tcPr/>
          <w:p>
            <w:pPr>
              <w:pStyle w:val="Compact"/>
            </w:pPr>
            <w:r>
              <w:t xml:space="preserve">Yahoo info.totalCash (latest filing) 2026-10-13T16:22</w:t>
            </w:r>
          </w:p>
        </w:tc>
      </w:tr>
      <w:tr>
        <w:tc>
          <w:tcPr/>
          <w:p>
            <w:pPr>
              <w:pStyle w:val="Compact"/>
            </w:pPr>
            <w:r>
              <w:t xml:space="preserve">Debt </w:t>
            </w:r>
            <w:r>
              <w:rPr>
                <w:rFonts w:hint="eastAsia"/>
              </w:rPr>
              <w:t xml:space="preserve">负债</w:t>
            </w:r>
          </w:p>
        </w:tc>
        <w:tc>
          <w:tcPr/>
          <w:p>
            <w:pPr>
              <w:pStyle w:val="Compact"/>
            </w:pPr>
            <w:r>
              <w:t xml:space="preserve">1.337e+08</w:t>
            </w:r>
          </w:p>
        </w:tc>
        <w:tc>
          <w:tcPr/>
          <w:p>
            <w:pPr>
              <w:pStyle w:val="Compact"/>
            </w:pPr>
            <w:r>
              <w:t xml:space="preserve">Yahoo info.totalDebt (latest filing) 2026-10-13T16:22</w:t>
            </w:r>
          </w:p>
        </w:tc>
      </w:tr>
      <w:tr>
        <w:tc>
          <w:tcPr/>
          <w:p>
            <w:pPr>
              <w:pStyle w:val="Compact"/>
            </w:pPr>
            <w:r>
              <w:t xml:space="preserve">Revenue TTM </w:t>
            </w:r>
            <w:r>
              <w:rPr>
                <w:rFonts w:hint="eastAsia"/>
              </w:rPr>
              <w:t xml:space="preserve">收入</w:t>
            </w:r>
          </w:p>
        </w:tc>
        <w:tc>
          <w:tcPr/>
          <w:p>
            <w:pPr>
              <w:pStyle w:val="Compact"/>
            </w:pPr>
            <w:r>
              <w:t xml:space="preserve">7.691e+08</w:t>
            </w:r>
          </w:p>
        </w:tc>
        <w:tc>
          <w:tcPr/>
          <w:p>
            <w:pPr>
              <w:pStyle w:val="Compact"/>
            </w:pPr>
            <w:r>
              <w:t xml:space="preserve">Yahoo info.totalRevenue (TTM, USD) 2026-10-13T16:22</w:t>
            </w:r>
          </w:p>
        </w:tc>
      </w:tr>
      <w:tr>
        <w:tc>
          <w:tcPr/>
          <w:p>
            <w:pPr>
              <w:pStyle w:val="Compact"/>
            </w:pPr>
            <w:r>
              <w:t xml:space="preserve">FCF TTM </w:t>
            </w:r>
            <w:r>
              <w:rPr>
                <w:rFonts w:hint="eastAsia"/>
              </w:rPr>
              <w:t xml:space="preserve">自由现金流</w:t>
            </w:r>
          </w:p>
        </w:tc>
        <w:tc>
          <w:tcPr/>
          <w:p>
            <w:pPr>
              <w:pStyle w:val="Compact"/>
            </w:pPr>
            <w:r>
              <w:t xml:space="preserve">-3.711e+08</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2.938</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0.5965</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0.4134</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0.4134</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-0.4825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RKLB_model_v20261013-1622.xlsx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data/snapshots/20261013-1622</w:t>
      </w:r>
      <w:r>
        <w:t xml:space="preserve"> </w:t>
      </w:r>
      <w:r>
        <w:t xml:space="preserve">(immutable) | Fetched 2026-10-13 16:22 SGT | Generated 2026-10-13 16:23 SGT</w:t>
      </w:r>
    </w:p>
    <w:p>
      <w:pPr>
        <w:pStyle w:val="Compact"/>
        <w:numPr>
          <w:ilvl w:val="0"/>
          <w:numId w:val="1007"/>
        </w:numPr>
      </w:pPr>
      <w:r>
        <w:t xml:space="preserve">Version: v20261013-1622.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v20261013-1622: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2026-11-10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RKLB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RKLB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RKLB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RKLB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RKLB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228f3bdd001faba9d01141547c78b656e9f4f40"/>
    <w:p>
      <w:pPr>
        <w:pStyle w:val="Heading1"/>
      </w:pPr>
      <w:r>
        <w:t xml:space="preserve">RKLB Rocket Lab Corporation — Equity Deep Dive (Professional English) v20261013-1622</w:t>
      </w:r>
    </w:p>
    <w:p>
      <w:pPr>
        <w:pStyle w:val="BlockText"/>
      </w:pPr>
      <w:r>
        <w:t xml:space="preserve">Data as of 2026-10-13 16:22 SGT | Price $65.71 | Mkt cap 42.0 bn USD | Reporting currency USD | Not investment advice.</w:t>
      </w:r>
    </w:p>
    <w:bookmarkStart w:id="39" w:name="investment-thesis-hypothesis"/>
    <w:p>
      <w:pPr>
        <w:pStyle w:val="Heading2"/>
      </w:pPr>
      <w:r>
        <w:t xml:space="preserve">1. Investment thesis (HYPOTHESIS)</w:t>
      </w:r>
    </w:p>
    <w:p>
      <w:pPr>
        <w:pStyle w:val="FirstParagraph"/>
      </w:pPr>
      <w:r>
        <w:t xml:space="preserve">Rocket Lab is the</w:t>
      </w:r>
      <w:r>
        <w:t xml:space="preserve"> </w:t>
      </w:r>
      <w:r>
        <w:t xml:space="preserve">‘next SpaceX’</w:t>
      </w:r>
      <w:r>
        <w:t xml:space="preserve"> </w:t>
      </w:r>
      <w:r>
        <w:t xml:space="preserve">narrative name; the Neutron medium-lift rocket is the key inflection. FCF is currently negative, so valuation rests on long-term share assumptions.</w:t>
      </w:r>
    </w:p>
    <w:p>
      <w:pPr>
        <w:pStyle w:val="Compact"/>
        <w:numPr>
          <w:ilvl w:val="0"/>
          <w:numId w:val="1009"/>
        </w:numPr>
      </w:pPr>
      <w:r>
        <w:rPr>
          <w:b/>
          <w:bCs/>
        </w:rPr>
        <w:t xml:space="preserve">Bull drivers</w:t>
      </w:r>
      <w:r>
        <w:t xml:space="preserve">: Neutron flies successfully and wins NSSL/constellation </w:t>
      </w:r>
      <w:r>
        <w:rPr>
          <w:rFonts w:hint="eastAsia"/>
        </w:rPr>
        <w:t xml:space="preserve">work｜Neutron成功并获国家安全/星座订单</w:t>
      </w:r>
    </w:p>
    <w:p>
      <w:pPr>
        <w:pStyle w:val="Compact"/>
        <w:numPr>
          <w:ilvl w:val="0"/>
          <w:numId w:val="1009"/>
        </w:numPr>
      </w:pPr>
      <w:r>
        <w:rPr>
          <w:b/>
          <w:bCs/>
        </w:rPr>
        <w:t xml:space="preserve">Bear drivers</w:t>
      </w:r>
      <w:r>
        <w:t xml:space="preserve">: Neutron delays; SpaceX price competition; </w:t>
      </w:r>
      <w:r>
        <w:rPr>
          <w:rFonts w:hint="eastAsia"/>
        </w:rPr>
        <w:t xml:space="preserve">dilution｜Neutron延期；SpaceX压价；稀释</w:t>
      </w:r>
    </w:p>
    <w:p>
      <w:pPr>
        <w:pStyle w:val="Compact"/>
        <w:numPr>
          <w:ilvl w:val="0"/>
          <w:numId w:val="1009"/>
        </w:numPr>
      </w:pPr>
      <w:r>
        <w:rPr>
          <w:b/>
          <w:bCs/>
        </w:rPr>
        <w:t xml:space="preserve">Falsifiers</w:t>
      </w:r>
      <w:r>
        <w:t xml:space="preserve">: Neutron slip beyond guided window; backlog growth </w:t>
      </w:r>
      <w:r>
        <w:rPr>
          <w:rFonts w:hint="eastAsia"/>
        </w:rPr>
        <w:t xml:space="preserve">stalls｜Neutron超出指引窗口；积压停滞</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Small/medium launch + space systems </w:t>
      </w:r>
      <w:r>
        <w:rPr>
          <w:rFonts w:hint="eastAsia"/>
        </w:rPr>
        <w:t xml:space="preserve">中小型发射+航天系统</w:t>
      </w:r>
      <w:r>
        <w:t xml:space="preserve"> | Segments: Launch services </w:t>
      </w:r>
      <w:r>
        <w:rPr>
          <w:rFonts w:hint="eastAsia"/>
        </w:rPr>
        <w:t xml:space="preserve">发射服务;</w:t>
      </w:r>
      <w:r>
        <w:t xml:space="preserve"> Space systems </w:t>
      </w:r>
      <w:r>
        <w:rPr>
          <w:rFonts w:hint="eastAsia"/>
        </w:rPr>
        <w:t xml:space="preserve">航天系统</w:t>
      </w:r>
    </w:p>
    <w:p>
      <w:pPr>
        <w:pStyle w:val="Compact"/>
        <w:numPr>
          <w:ilvl w:val="0"/>
          <w:numId w:val="1010"/>
        </w:numPr>
      </w:pPr>
      <w:r>
        <w:t xml:space="preserve">Business description (DATA): Rocket Lab Corporation, a space company, provides launch services and space systems solutions in the United States, Canada, Japan, and internationally. The company operates through launch services and space systems segments. The company provides launch services, spacecraft design services, spacecraft components, spacecraft manufacturing, optical systems, and other spacecraft and on-orbit management solutions and constellation management services, as well as designs and manufactures small and medium-class rockets and develops flight and ground software. It also designs, manufactures, and sells Electron, an orbital small launch vehicle for small spacecraft launch services, as well as develops Neutron launch vehicles for large constellation deployments, interplanetary missions, and potentially for human spaceflight. In addition, the company designs and manufactures a range of components and</w:t>
      </w:r>
    </w:p>
    <w:p>
      <w:pPr>
        <w:pStyle w:val="Compact"/>
        <w:numPr>
          <w:ilvl w:val="0"/>
          <w:numId w:val="1010"/>
        </w:numPr>
      </w:pPr>
      <w:r>
        <w:t xml:space="preserve">Customers: NASA, US Space Force/SDA, commercial </w:t>
      </w:r>
      <w:r>
        <w:rPr>
          <w:rFonts w:hint="eastAsia"/>
        </w:rPr>
        <w:t xml:space="preserve">constellations｜NASA、美国太空军/SDA、商业星座</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In-house (solar, reaction wheels via acquisitions), carbon </w:t>
      </w:r>
      <w:r>
        <w:rPr>
          <w:rFonts w:hint="eastAsia"/>
        </w:rPr>
        <w:t xml:space="preserve">composites｜自研(收购获得太阳翼、飞轮)、碳复合材料</w:t>
      </w:r>
    </w:p>
    <w:p>
      <w:pPr>
        <w:pStyle w:val="Compact"/>
        <w:numPr>
          <w:ilvl w:val="0"/>
          <w:numId w:val="1011"/>
        </w:numPr>
      </w:pPr>
      <w:r>
        <w:t xml:space="preserve">Competitors: SpaceX, Firefly, Relativity, Blue Origin; satellite </w:t>
      </w:r>
      <w:r>
        <w:rPr>
          <w:rFonts w:hint="eastAsia"/>
        </w:rPr>
        <w:t xml:space="preserve">primes｜SpaceX、Firefly、Relativity、Blue</w:t>
      </w:r>
      <w:r>
        <w:t xml:space="preserve"> Origin</w:t>
      </w:r>
    </w:p>
    <w:p>
      <w:pPr>
        <w:pStyle w:val="Compact"/>
        <w:numPr>
          <w:ilvl w:val="0"/>
          <w:numId w:val="1011"/>
        </w:numPr>
      </w:pPr>
      <w:r>
        <w:t xml:space="preserve">Bottlenecks/regulation: Neutron first flight &amp; cadence, SDA contract </w:t>
      </w:r>
      <w:r>
        <w:rPr>
          <w:rFonts w:hint="eastAsia"/>
        </w:rPr>
        <w:t xml:space="preserve">execution｜Neutron首飞与节奏、SDA合同执行</w:t>
      </w:r>
    </w:p>
    <w:p>
      <w:pPr>
        <w:pStyle w:val="Compact"/>
        <w:numPr>
          <w:ilvl w:val="0"/>
          <w:numId w:val="1011"/>
        </w:numPr>
      </w:pPr>
      <w:r>
        <w:t xml:space="preserve">KPIs: Backlog, launches, Neutron milestones, GM%, cash </w:t>
      </w:r>
      <w:r>
        <w:rPr>
          <w:rFonts w:hint="eastAsia"/>
        </w:rPr>
        <w:t xml:space="preserve">burn｜积压订单、发射次数、Neutron里程碑、毛利率、现金消耗</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0.2 bn USD</w:t>
            </w:r>
          </w:p>
        </w:tc>
        <w:tc>
          <w:tcPr/>
          <w:p>
            <w:pPr>
              <w:pStyle w:val="Compact"/>
            </w:pPr>
            <w:r>
              <w:t xml:space="preserve">84.6 mn USD</w:t>
            </w:r>
          </w:p>
        </w:tc>
        <w:tc>
          <w:tcPr/>
          <w:p>
            <w:pPr>
              <w:pStyle w:val="Compact"/>
            </w:pPr>
            <w:r>
              <w:t xml:space="preserve">-57.5 mn USD</w:t>
            </w:r>
          </w:p>
        </w:tc>
        <w:tc>
          <w:tcPr/>
          <w:p>
            <w:pPr>
              <w:pStyle w:val="Compact"/>
            </w:pPr>
            <w:r>
              <w:t xml:space="preserve">-49.3 mn USD</w:t>
            </w:r>
          </w:p>
        </w:tc>
        <w:tc>
          <w:tcPr/>
          <w:p>
            <w:pPr>
              <w:pStyle w:val="Compact"/>
            </w:pPr>
            <w:r>
              <w:t xml:space="preserve">-0.1 bn USD</w:t>
            </w:r>
          </w:p>
        </w:tc>
        <w:tc>
          <w:tcPr/>
          <w:p>
            <w:pPr>
              <w:pStyle w:val="Compact"/>
            </w:pPr>
            <w:r>
              <w:t xml:space="preserve">-24.6%</w:t>
            </w:r>
          </w:p>
        </w:tc>
      </w:tr>
      <w:tr>
        <w:tc>
          <w:tcPr/>
          <w:p>
            <w:pPr>
              <w:pStyle w:val="Compact"/>
            </w:pPr>
            <w:r>
              <w:t xml:space="preserve">2026-03-31</w:t>
            </w:r>
          </w:p>
        </w:tc>
        <w:tc>
          <w:tcPr/>
          <w:p>
            <w:pPr>
              <w:pStyle w:val="Compact"/>
            </w:pPr>
            <w:r>
              <w:t xml:space="preserve">0.2 bn USD</w:t>
            </w:r>
          </w:p>
        </w:tc>
        <w:tc>
          <w:tcPr/>
          <w:p>
            <w:pPr>
              <w:pStyle w:val="Compact"/>
            </w:pPr>
            <w:r>
              <w:t xml:space="preserve">76.5 mn USD</w:t>
            </w:r>
          </w:p>
        </w:tc>
        <w:tc>
          <w:tcPr/>
          <w:p>
            <w:pPr>
              <w:pStyle w:val="Compact"/>
            </w:pPr>
            <w:r>
              <w:t xml:space="preserve">-56.0 mn USD</w:t>
            </w:r>
          </w:p>
        </w:tc>
        <w:tc>
          <w:tcPr/>
          <w:p>
            <w:pPr>
              <w:pStyle w:val="Compact"/>
            </w:pPr>
            <w:r>
              <w:t xml:space="preserve">-45.0 mn USD</w:t>
            </w:r>
          </w:p>
        </w:tc>
        <w:tc>
          <w:tcPr/>
          <w:p>
            <w:pPr>
              <w:pStyle w:val="Compact"/>
            </w:pPr>
            <w:r>
              <w:t xml:space="preserve">-77.4 mn USD</w:t>
            </w:r>
          </w:p>
        </w:tc>
        <w:tc>
          <w:tcPr/>
          <w:p>
            <w:pPr>
              <w:pStyle w:val="Compact"/>
            </w:pPr>
            <w:r>
              <w:t xml:space="preserve">-27.9%</w:t>
            </w:r>
          </w:p>
        </w:tc>
      </w:tr>
      <w:tr>
        <w:tc>
          <w:tcPr/>
          <w:p>
            <w:pPr>
              <w:pStyle w:val="Compact"/>
            </w:pPr>
            <w:r>
              <w:t xml:space="preserve">2025-12-31</w:t>
            </w:r>
          </w:p>
        </w:tc>
        <w:tc>
          <w:tcPr/>
          <w:p>
            <w:pPr>
              <w:pStyle w:val="Compact"/>
            </w:pPr>
            <w:r>
              <w:t xml:space="preserve">0.2 bn USD</w:t>
            </w:r>
          </w:p>
        </w:tc>
        <w:tc>
          <w:tcPr/>
          <w:p>
            <w:pPr>
              <w:pStyle w:val="Compact"/>
            </w:pPr>
            <w:r>
              <w:t xml:space="preserve">68.2 mn USD</w:t>
            </w:r>
          </w:p>
        </w:tc>
        <w:tc>
          <w:tcPr/>
          <w:p>
            <w:pPr>
              <w:pStyle w:val="Compact"/>
            </w:pPr>
            <w:r>
              <w:t xml:space="preserve">-51.0 mn USD</w:t>
            </w:r>
          </w:p>
        </w:tc>
        <w:tc>
          <w:tcPr/>
          <w:p>
            <w:pPr>
              <w:pStyle w:val="Compact"/>
            </w:pPr>
            <w:r>
              <w:t xml:space="preserve">-52.9 mn USD</w:t>
            </w:r>
          </w:p>
        </w:tc>
        <w:tc>
          <w:tcPr/>
          <w:p>
            <w:pPr>
              <w:pStyle w:val="Compact"/>
            </w:pPr>
            <w:r>
              <w:t xml:space="preserve">-0.1 bn USD</w:t>
            </w:r>
          </w:p>
        </w:tc>
        <w:tc>
          <w:tcPr/>
          <w:p>
            <w:pPr>
              <w:pStyle w:val="Compact"/>
            </w:pPr>
            <w:r>
              <w:t xml:space="preserve">-28.4%</w:t>
            </w:r>
          </w:p>
        </w:tc>
      </w:tr>
      <w:tr>
        <w:tc>
          <w:tcPr/>
          <w:p>
            <w:pPr>
              <w:pStyle w:val="Compact"/>
            </w:pPr>
            <w:r>
              <w:t xml:space="preserve">2025-09-30</w:t>
            </w:r>
          </w:p>
        </w:tc>
        <w:tc>
          <w:tcPr/>
          <w:p>
            <w:pPr>
              <w:pStyle w:val="Compact"/>
            </w:pPr>
            <w:r>
              <w:t xml:space="preserve">0.2 bn USD</w:t>
            </w:r>
          </w:p>
        </w:tc>
        <w:tc>
          <w:tcPr/>
          <w:p>
            <w:pPr>
              <w:pStyle w:val="Compact"/>
            </w:pPr>
            <w:r>
              <w:t xml:space="preserve">57.3 mn USD</w:t>
            </w:r>
          </w:p>
        </w:tc>
        <w:tc>
          <w:tcPr/>
          <w:p>
            <w:pPr>
              <w:pStyle w:val="Compact"/>
            </w:pPr>
            <w:r>
              <w:t xml:space="preserve">-59.0 mn USD</w:t>
            </w:r>
          </w:p>
        </w:tc>
        <w:tc>
          <w:tcPr/>
          <w:p>
            <w:pPr>
              <w:pStyle w:val="Compact"/>
            </w:pPr>
            <w:r>
              <w:t xml:space="preserve">-18.3 mn USD</w:t>
            </w:r>
          </w:p>
        </w:tc>
        <w:tc>
          <w:tcPr/>
          <w:p>
            <w:pPr>
              <w:pStyle w:val="Compact"/>
            </w:pPr>
            <w:r>
              <w:t xml:space="preserve">-69.4 mn USD</w:t>
            </w:r>
          </w:p>
        </w:tc>
        <w:tc>
          <w:tcPr/>
          <w:p>
            <w:pPr>
              <w:pStyle w:val="Compact"/>
            </w:pPr>
            <w:r>
              <w:t xml:space="preserve">-38.0%</w:t>
            </w:r>
          </w:p>
        </w:tc>
      </w:tr>
      <w:tr>
        <w:tc>
          <w:tcPr/>
          <w:p>
            <w:pPr>
              <w:pStyle w:val="Compact"/>
            </w:pPr>
            <w:r>
              <w:t xml:space="preserve">2025-06-30</w:t>
            </w:r>
          </w:p>
        </w:tc>
        <w:tc>
          <w:tcPr/>
          <w:p>
            <w:pPr>
              <w:pStyle w:val="Compact"/>
            </w:pPr>
            <w:r>
              <w:t xml:space="preserve">0.1 bn USD</w:t>
            </w:r>
          </w:p>
        </w:tc>
        <w:tc>
          <w:tcPr/>
          <w:p>
            <w:pPr>
              <w:pStyle w:val="Compact"/>
            </w:pPr>
            <w:r>
              <w:t xml:space="preserve">46.4 mn USD</w:t>
            </w:r>
          </w:p>
        </w:tc>
        <w:tc>
          <w:tcPr/>
          <w:p>
            <w:pPr>
              <w:pStyle w:val="Compact"/>
            </w:pPr>
            <w:r>
              <w:t xml:space="preserve">-59.6 mn USD</w:t>
            </w:r>
          </w:p>
        </w:tc>
        <w:tc>
          <w:tcPr/>
          <w:p>
            <w:pPr>
              <w:pStyle w:val="Compact"/>
            </w:pPr>
            <w:r>
              <w:t xml:space="preserve">-66.4 mn USD</w:t>
            </w:r>
          </w:p>
        </w:tc>
        <w:tc>
          <w:tcPr/>
          <w:p>
            <w:pPr>
              <w:pStyle w:val="Compact"/>
            </w:pPr>
            <w:r>
              <w:t xml:space="preserve">-55.3 mn USD</w:t>
            </w:r>
          </w:p>
        </w:tc>
        <w:tc>
          <w:tcPr/>
          <w:p>
            <w:pPr>
              <w:pStyle w:val="Compact"/>
            </w:pPr>
            <w:r>
              <w:t xml:space="preserve">-41.3%</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2.3 bn USD; debt 0.1 bn USD; TTM FCF -0.4 bn USD (FCF margin -48.3%).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-0.03</w:t>
            </w:r>
          </w:p>
        </w:tc>
        <w:tc>
          <w:tcPr/>
          <w:p>
            <w:pPr>
              <w:pStyle w:val="Compact"/>
            </w:pPr>
            <w:r>
              <w:t xml:space="preserve">-0.10452</w:t>
            </w:r>
          </w:p>
        </w:tc>
        <w:tc>
          <w:tcPr/>
          <w:p>
            <w:pPr>
              <w:pStyle w:val="Compact"/>
            </w:pPr>
            <w:r>
              <w:t xml:space="preserve">0.71300006</w:t>
            </w:r>
          </w:p>
        </w:tc>
      </w:tr>
      <w:tr>
        <w:tc>
          <w:tcPr/>
          <w:p>
            <w:pPr>
              <w:pStyle w:val="Compact"/>
            </w:pPr>
            <w:r>
              <w:t xml:space="preserve">2025-12-31</w:t>
            </w:r>
          </w:p>
        </w:tc>
        <w:tc>
          <w:tcPr/>
          <w:p>
            <w:pPr>
              <w:pStyle w:val="Compact"/>
            </w:pPr>
            <w:r>
              <w:t xml:space="preserve">-0.09</w:t>
            </w:r>
          </w:p>
        </w:tc>
        <w:tc>
          <w:tcPr/>
          <w:p>
            <w:pPr>
              <w:pStyle w:val="Compact"/>
            </w:pPr>
            <w:r>
              <w:t xml:space="preserve">-0.09803</w:t>
            </w:r>
          </w:p>
        </w:tc>
        <w:tc>
          <w:tcPr/>
          <w:p>
            <w:pPr>
              <w:pStyle w:val="Compact"/>
            </w:pPr>
            <w:r>
              <w:t xml:space="preserve">0.08189999</w:t>
            </w:r>
          </w:p>
        </w:tc>
      </w:tr>
      <w:tr>
        <w:tc>
          <w:tcPr/>
          <w:p>
            <w:pPr>
              <w:pStyle w:val="Compact"/>
            </w:pPr>
            <w:r>
              <w:t xml:space="preserve">2026-03-31</w:t>
            </w:r>
          </w:p>
        </w:tc>
        <w:tc>
          <w:tcPr/>
          <w:p>
            <w:pPr>
              <w:pStyle w:val="Compact"/>
            </w:pPr>
            <w:r>
              <w:t xml:space="preserve">-0.07</w:t>
            </w:r>
          </w:p>
        </w:tc>
        <w:tc>
          <w:tcPr/>
          <w:p>
            <w:pPr>
              <w:pStyle w:val="Compact"/>
            </w:pPr>
            <w:r>
              <w:t xml:space="preserve">-0.07868</w:t>
            </w:r>
          </w:p>
        </w:tc>
        <w:tc>
          <w:tcPr/>
          <w:p>
            <w:pPr>
              <w:pStyle w:val="Compact"/>
            </w:pPr>
            <w:r>
              <w:t xml:space="preserve">0.1103</w:t>
            </w:r>
          </w:p>
        </w:tc>
      </w:tr>
      <w:tr>
        <w:tc>
          <w:tcPr/>
          <w:p>
            <w:pPr>
              <w:pStyle w:val="Compact"/>
            </w:pPr>
            <w:r>
              <w:t xml:space="preserve">2026-06-30</w:t>
            </w:r>
          </w:p>
        </w:tc>
        <w:tc>
          <w:tcPr/>
          <w:p>
            <w:pPr>
              <w:pStyle w:val="Compact"/>
            </w:pPr>
            <w:r>
              <w:t xml:space="preserve">-0.08</w:t>
            </w:r>
          </w:p>
        </w:tc>
        <w:tc>
          <w:tcPr/>
          <w:p>
            <w:pPr>
              <w:pStyle w:val="Compact"/>
            </w:pPr>
            <w:r>
              <w:t xml:space="preserve">-0.07667</w:t>
            </w:r>
          </w:p>
        </w:tc>
        <w:tc>
          <w:tcPr/>
          <w:p>
            <w:pPr>
              <w:pStyle w:val="Compact"/>
            </w:pPr>
            <w:r>
              <w:t xml:space="preserve">-0.0434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2026-11-10</w:t>
      </w:r>
      <w:r>
        <w:t xml:space="preserve">; current-quarter EPS consensus -0.06464 (11 analysts); revenue consensus 0.3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$-3.58</w:t>
            </w:r>
          </w:p>
        </w:tc>
        <w:tc>
          <w:tcPr/>
          <w:p>
            <w:pPr>
              <w:pStyle w:val="Compact"/>
            </w:pPr>
            <w:r>
              <w:t xml:space="preserve">-105.4%</w:t>
            </w:r>
          </w:p>
        </w:tc>
      </w:tr>
      <w:tr>
        <w:tc>
          <w:tcPr/>
          <w:p>
            <w:pPr>
              <w:pStyle w:val="Compact"/>
            </w:pPr>
            <w:r>
              <w:t xml:space="preserve">2Q</w:t>
            </w:r>
          </w:p>
        </w:tc>
        <w:tc>
          <w:tcPr/>
          <w:p>
            <w:pPr>
              <w:pStyle w:val="Compact"/>
            </w:pPr>
            <w:r>
              <w:t xml:space="preserve">Base</w:t>
            </w:r>
          </w:p>
        </w:tc>
        <w:tc>
          <w:tcPr/>
          <w:p>
            <w:pPr>
              <w:pStyle w:val="Compact"/>
            </w:pPr>
            <w:r>
              <w:t xml:space="preserve">$-10.72</w:t>
            </w:r>
          </w:p>
        </w:tc>
        <w:tc>
          <w:tcPr/>
          <w:p>
            <w:pPr>
              <w:pStyle w:val="Compact"/>
            </w:pPr>
            <w:r>
              <w:t xml:space="preserve">-116.3%</w:t>
            </w:r>
          </w:p>
        </w:tc>
      </w:tr>
      <w:tr>
        <w:tc>
          <w:tcPr/>
          <w:p>
            <w:pPr>
              <w:pStyle w:val="Compact"/>
            </w:pPr>
            <w:r>
              <w:t xml:space="preserve">2Q</w:t>
            </w:r>
          </w:p>
        </w:tc>
        <w:tc>
          <w:tcPr/>
          <w:p>
            <w:pPr>
              <w:pStyle w:val="Compact"/>
            </w:pPr>
            <w:r>
              <w:t xml:space="preserve">Bull</w:t>
            </w:r>
          </w:p>
        </w:tc>
        <w:tc>
          <w:tcPr/>
          <w:p>
            <w:pPr>
              <w:pStyle w:val="Compact"/>
            </w:pPr>
            <w:r>
              <w:t xml:space="preserve">$-18.43</w:t>
            </w:r>
          </w:p>
        </w:tc>
        <w:tc>
          <w:tcPr/>
          <w:p>
            <w:pPr>
              <w:pStyle w:val="Compact"/>
            </w:pPr>
            <w:r>
              <w:t xml:space="preserve">-128.0%</w:t>
            </w:r>
          </w:p>
        </w:tc>
      </w:tr>
      <w:tr>
        <w:tc>
          <w:tcPr/>
          <w:p>
            <w:pPr>
              <w:pStyle w:val="Compact"/>
            </w:pPr>
            <w:r>
              <w:t xml:space="preserve">4Q</w:t>
            </w:r>
          </w:p>
        </w:tc>
        <w:tc>
          <w:tcPr/>
          <w:p>
            <w:pPr>
              <w:pStyle w:val="Compact"/>
            </w:pPr>
            <w:r>
              <w:t xml:space="preserve">Bear</w:t>
            </w:r>
          </w:p>
        </w:tc>
        <w:tc>
          <w:tcPr/>
          <w:p>
            <w:pPr>
              <w:pStyle w:val="Compact"/>
            </w:pPr>
            <w:r>
              <w:t xml:space="preserve">$-2.59</w:t>
            </w:r>
          </w:p>
        </w:tc>
        <w:tc>
          <w:tcPr/>
          <w:p>
            <w:pPr>
              <w:pStyle w:val="Compact"/>
            </w:pPr>
            <w:r>
              <w:t xml:space="preserve">-103.9%</w:t>
            </w:r>
          </w:p>
        </w:tc>
      </w:tr>
      <w:tr>
        <w:tc>
          <w:tcPr/>
          <w:p>
            <w:pPr>
              <w:pStyle w:val="Compact"/>
            </w:pPr>
            <w:r>
              <w:t xml:space="preserve">4Q</w:t>
            </w:r>
          </w:p>
        </w:tc>
        <w:tc>
          <w:tcPr/>
          <w:p>
            <w:pPr>
              <w:pStyle w:val="Compact"/>
            </w:pPr>
            <w:r>
              <w:t xml:space="preserve">Base</w:t>
            </w:r>
          </w:p>
        </w:tc>
        <w:tc>
          <w:tcPr/>
          <w:p>
            <w:pPr>
              <w:pStyle w:val="Compact"/>
            </w:pPr>
            <w:r>
              <w:t xml:space="preserve">$-9.18</w:t>
            </w:r>
          </w:p>
        </w:tc>
        <w:tc>
          <w:tcPr/>
          <w:p>
            <w:pPr>
              <w:pStyle w:val="Compact"/>
            </w:pPr>
            <w:r>
              <w:t xml:space="preserve">-114.0%</w:t>
            </w:r>
          </w:p>
        </w:tc>
      </w:tr>
      <w:tr>
        <w:tc>
          <w:tcPr/>
          <w:p>
            <w:pPr>
              <w:pStyle w:val="Compact"/>
            </w:pPr>
            <w:r>
              <w:t xml:space="preserve">4Q</w:t>
            </w:r>
          </w:p>
        </w:tc>
        <w:tc>
          <w:tcPr/>
          <w:p>
            <w:pPr>
              <w:pStyle w:val="Compact"/>
            </w:pPr>
            <w:r>
              <w:t xml:space="preserve">Bull</w:t>
            </w:r>
          </w:p>
        </w:tc>
        <w:tc>
          <w:tcPr/>
          <w:p>
            <w:pPr>
              <w:pStyle w:val="Compact"/>
            </w:pPr>
            <w:r>
              <w:t xml:space="preserve">$-16.46</w:t>
            </w:r>
          </w:p>
        </w:tc>
        <w:tc>
          <w:tcPr/>
          <w:p>
            <w:pPr>
              <w:pStyle w:val="Compact"/>
            </w:pPr>
            <w:r>
              <w:t xml:space="preserve">-125.0%</w:t>
            </w:r>
          </w:p>
        </w:tc>
      </w:tr>
      <w:tr>
        <w:tc>
          <w:tcPr/>
          <w:p>
            <w:pPr>
              <w:pStyle w:val="Compact"/>
            </w:pPr>
            <w:r>
              <w:t xml:space="preserve">6Q</w:t>
            </w:r>
          </w:p>
        </w:tc>
        <w:tc>
          <w:tcPr/>
          <w:p>
            <w:pPr>
              <w:pStyle w:val="Compact"/>
            </w:pPr>
            <w:r>
              <w:t xml:space="preserve">Bear</w:t>
            </w:r>
          </w:p>
        </w:tc>
        <w:tc>
          <w:tcPr/>
          <w:p>
            <w:pPr>
              <w:pStyle w:val="Compact"/>
            </w:pPr>
            <w:r>
              <w:t xml:space="preserve">$-1.51</w:t>
            </w:r>
          </w:p>
        </w:tc>
        <w:tc>
          <w:tcPr/>
          <w:p>
            <w:pPr>
              <w:pStyle w:val="Compact"/>
            </w:pPr>
            <w:r>
              <w:t xml:space="preserve">-102.3%</w:t>
            </w:r>
          </w:p>
        </w:tc>
      </w:tr>
      <w:tr>
        <w:tc>
          <w:tcPr/>
          <w:p>
            <w:pPr>
              <w:pStyle w:val="Compact"/>
            </w:pPr>
            <w:r>
              <w:t xml:space="preserve">6Q</w:t>
            </w:r>
          </w:p>
        </w:tc>
        <w:tc>
          <w:tcPr/>
          <w:p>
            <w:pPr>
              <w:pStyle w:val="Compact"/>
            </w:pPr>
            <w:r>
              <w:t xml:space="preserve">Base</w:t>
            </w:r>
          </w:p>
        </w:tc>
        <w:tc>
          <w:tcPr/>
          <w:p>
            <w:pPr>
              <w:pStyle w:val="Compact"/>
            </w:pPr>
            <w:r>
              <w:t xml:space="preserve">$-7.04</w:t>
            </w:r>
          </w:p>
        </w:tc>
        <w:tc>
          <w:tcPr/>
          <w:p>
            <w:pPr>
              <w:pStyle w:val="Compact"/>
            </w:pPr>
            <w:r>
              <w:t xml:space="preserve">-110.7%</w:t>
            </w:r>
          </w:p>
        </w:tc>
      </w:tr>
      <w:tr>
        <w:tc>
          <w:tcPr/>
          <w:p>
            <w:pPr>
              <w:pStyle w:val="Compact"/>
            </w:pPr>
            <w:r>
              <w:t xml:space="preserve">6Q</w:t>
            </w:r>
          </w:p>
        </w:tc>
        <w:tc>
          <w:tcPr/>
          <w:p>
            <w:pPr>
              <w:pStyle w:val="Compact"/>
            </w:pPr>
            <w:r>
              <w:t xml:space="preserve">Bull</w:t>
            </w:r>
          </w:p>
        </w:tc>
        <w:tc>
          <w:tcPr/>
          <w:p>
            <w:pPr>
              <w:pStyle w:val="Compact"/>
            </w:pPr>
            <w:r>
              <w:t xml:space="preserve">$-13.15</w:t>
            </w:r>
          </w:p>
        </w:tc>
        <w:tc>
          <w:tcPr/>
          <w:p>
            <w:pPr>
              <w:pStyle w:val="Compact"/>
            </w:pPr>
            <w:r>
              <w:t xml:space="preserve">-120.0%</w:t>
            </w:r>
          </w:p>
        </w:tc>
      </w:tr>
      <w:tr>
        <w:tc>
          <w:tcPr/>
          <w:p>
            <w:pPr>
              <w:pStyle w:val="Compact"/>
            </w:pPr>
            <w:r>
              <w:t xml:space="preserve">8Q</w:t>
            </w:r>
          </w:p>
        </w:tc>
        <w:tc>
          <w:tcPr/>
          <w:p>
            <w:pPr>
              <w:pStyle w:val="Compact"/>
            </w:pPr>
            <w:r>
              <w:t xml:space="preserve">Bear</w:t>
            </w:r>
          </w:p>
        </w:tc>
        <w:tc>
          <w:tcPr/>
          <w:p>
            <w:pPr>
              <w:pStyle w:val="Compact"/>
            </w:pPr>
            <w:r>
              <w:t xml:space="preserve">$-0.34</w:t>
            </w:r>
          </w:p>
        </w:tc>
        <w:tc>
          <w:tcPr/>
          <w:p>
            <w:pPr>
              <w:pStyle w:val="Compact"/>
            </w:pPr>
            <w:r>
              <w:t xml:space="preserve">-100.5%</w:t>
            </w:r>
          </w:p>
        </w:tc>
      </w:tr>
      <w:tr>
        <w:tc>
          <w:tcPr/>
          <w:p>
            <w:pPr>
              <w:pStyle w:val="Compact"/>
            </w:pPr>
            <w:r>
              <w:t xml:space="preserve">8Q</w:t>
            </w:r>
          </w:p>
        </w:tc>
        <w:tc>
          <w:tcPr/>
          <w:p>
            <w:pPr>
              <w:pStyle w:val="Compact"/>
            </w:pPr>
            <w:r>
              <w:t xml:space="preserve">Base</w:t>
            </w:r>
          </w:p>
        </w:tc>
        <w:tc>
          <w:tcPr/>
          <w:p>
            <w:pPr>
              <w:pStyle w:val="Compact"/>
            </w:pPr>
            <w:r>
              <w:t xml:space="preserve">$-4.18</w:t>
            </w:r>
          </w:p>
        </w:tc>
        <w:tc>
          <w:tcPr/>
          <w:p>
            <w:pPr>
              <w:pStyle w:val="Compact"/>
            </w:pPr>
            <w:r>
              <w:t xml:space="preserve">-106.4%</w:t>
            </w:r>
          </w:p>
        </w:tc>
      </w:tr>
      <w:tr>
        <w:tc>
          <w:tcPr/>
          <w:p>
            <w:pPr>
              <w:pStyle w:val="Compact"/>
            </w:pPr>
            <w:r>
              <w:t xml:space="preserve">8Q</w:t>
            </w:r>
          </w:p>
        </w:tc>
        <w:tc>
          <w:tcPr/>
          <w:p>
            <w:pPr>
              <w:pStyle w:val="Compact"/>
            </w:pPr>
            <w:r>
              <w:t xml:space="preserve">Bull</w:t>
            </w:r>
          </w:p>
        </w:tc>
        <w:tc>
          <w:tcPr/>
          <w:p>
            <w:pPr>
              <w:pStyle w:val="Compact"/>
            </w:pPr>
            <w:r>
              <w:t xml:space="preserve">$-8.11</w:t>
            </w:r>
          </w:p>
        </w:tc>
        <w:tc>
          <w:tcPr/>
          <w:p>
            <w:pPr>
              <w:pStyle w:val="Compact"/>
            </w:pPr>
            <w:r>
              <w:t xml:space="preserve">-112.3%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20.7%</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$4.27</w:t>
            </w:r>
          </w:p>
        </w:tc>
        <w:tc>
          <w:tcPr/>
          <w:p>
            <w:pPr>
              <w:pStyle w:val="Compact"/>
            </w:pPr>
            <w:r>
              <w:t xml:space="preserve">-93.5%</w:t>
            </w:r>
          </w:p>
        </w:tc>
      </w:tr>
      <w:tr>
        <w:tc>
          <w:tcPr/>
          <w:p>
            <w:pPr>
              <w:pStyle w:val="Compact"/>
            </w:pPr>
            <w:r>
              <w:t xml:space="preserve">Base</w:t>
            </w:r>
          </w:p>
        </w:tc>
        <w:tc>
          <w:tcPr/>
          <w:p>
            <w:pPr>
              <w:pStyle w:val="Compact"/>
            </w:pPr>
            <w:r>
              <w:t xml:space="preserve">41.3%</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$8.43</w:t>
            </w:r>
          </w:p>
        </w:tc>
        <w:tc>
          <w:tcPr/>
          <w:p>
            <w:pPr>
              <w:pStyle w:val="Compact"/>
            </w:pPr>
            <w:r>
              <w:t xml:space="preserve">-87.2%</w:t>
            </w:r>
          </w:p>
        </w:tc>
      </w:tr>
      <w:tr>
        <w:tc>
          <w:tcPr/>
          <w:p>
            <w:pPr>
              <w:pStyle w:val="Compact"/>
            </w:pPr>
            <w:r>
              <w:t xml:space="preserve">Bull</w:t>
            </w:r>
          </w:p>
        </w:tc>
        <w:tc>
          <w:tcPr/>
          <w:p>
            <w:pPr>
              <w:pStyle w:val="Compact"/>
            </w:pPr>
            <w:r>
              <w:t xml:space="preserve">53.7%</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$14.80</w:t>
            </w:r>
          </w:p>
        </w:tc>
        <w:tc>
          <w:tcPr/>
          <w:p>
            <w:pPr>
              <w:pStyle w:val="Compact"/>
            </w:pPr>
            <w:r>
              <w:t xml:space="preserve">-77.5%</w:t>
            </w:r>
          </w:p>
        </w:tc>
      </w:tr>
    </w:tbl>
    <w:p>
      <w:pPr>
        <w:pStyle w:val="BodyText"/>
      </w:pPr>
      <w:r>
        <w:t xml:space="preserve">Probability-weighted value</w:t>
      </w:r>
      <w:r>
        <w:t xml:space="preserve"> </w:t>
      </w:r>
      <w:r>
        <w:rPr>
          <w:b/>
          <w:bCs/>
        </w:rPr>
        <w:t xml:space="preserve">$8.98</w:t>
      </w:r>
      <w:r>
        <w:t xml:space="preserve"> </w:t>
      </w:r>
      <w:r>
        <w:t xml:space="preserve">(-86.3%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3.2 bn USD; terminal share 73.5%.</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115.2%</w:t>
      </w:r>
      <w:r>
        <w:t xml:space="preserve"> </w:t>
      </w:r>
      <w:r>
        <w:t xml:space="preserve">vs consensus FY+1 41.3%.</w:t>
      </w:r>
    </w:p>
    <w:p>
      <w:pPr>
        <w:pStyle w:val="Compact"/>
        <w:numPr>
          <w:ilvl w:val="0"/>
          <w:numId w:val="1013"/>
        </w:numPr>
      </w:pPr>
      <w:r>
        <w:t xml:space="preserve">WACC (CAPM) = rf 5.2% + β 1.60 × ERP 5.0% = 13.2%.</w:t>
      </w:r>
    </w:p>
    <w:p>
      <w:pPr>
        <w:pStyle w:val="Compact"/>
        <w:numPr>
          <w:ilvl w:val="0"/>
          <w:numId w:val="1013"/>
        </w:numPr>
      </w:pPr>
      <w:r>
        <w:t xml:space="preserve">SOTP segments: Launch services </w:t>
      </w:r>
      <w:r>
        <w:rPr>
          <w:rFonts w:hint="eastAsia"/>
        </w:rPr>
        <w:t xml:space="preserve">发射服务;</w:t>
      </w:r>
      <w:r>
        <w:t xml:space="preserve"> Space systems </w:t>
      </w:r>
      <w:r>
        <w:rPr>
          <w:rFonts w:hint="eastAsia"/>
        </w:rPr>
        <w:t xml:space="preserve">航天系统</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Neutron delays; SpaceX price competition; </w:t>
      </w:r>
      <w:r>
        <w:rPr>
          <w:rFonts w:hint="eastAsia"/>
        </w:rPr>
        <w:t xml:space="preserve">dilution｜Neutron延期；SpaceX压价；稀释</w:t>
      </w:r>
      <w:r>
        <w:t xml:space="preserve"> | Falsifiers: Neutron slip beyond guided window; backlog growth </w:t>
      </w:r>
      <w:r>
        <w:rPr>
          <w:rFonts w:hint="eastAsia"/>
        </w:rPr>
        <w:t xml:space="preserve">stalls｜Neutron超出指引窗口；积压停滞</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RKLB_model_v20261013-1622.xlsx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data/snapshots/20261013-1622</w:t>
      </w:r>
      <w:r>
        <w:t xml:space="preserve"> </w:t>
      </w:r>
      <w:r>
        <w:t xml:space="preserve">(immutable) | Fetched 2026-10-13 16:22 SGT | Generated 2026-10-13 16:23 SGT</w:t>
      </w:r>
      <w:r>
        <w:t xml:space="preserve"> </w:t>
      </w:r>
      <w:r>
        <w:t xml:space="preserve">- Version: v20261013-1622.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2026-10-13T08:25:05Z</dcterms:created>
  <dcterms:modified xsi:type="dcterms:W3CDTF">2026-10-13T08:25:05Z</dcterms:modified>
</cp:coreProperties>
</file>

<file path=docProps/custom.xml><?xml version="1.0" encoding="utf-8"?>
<Properties xmlns="http://schemas.openxmlformats.org/officeDocument/2006/custom-properties" xmlns:vt="http://schemas.openxmlformats.org/officeDocument/2006/docPropsVTypes"/>
</file>