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rklb-初学者教学版-中文-v20261013-1622"/>
    <w:p>
      <w:pPr>
        <w:pStyle w:val="Heading1"/>
      </w:pPr>
      <w:r>
        <w:t xml:space="preserve">RKLB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Rocket Lab Corporation </w:t>
      </w:r>
      <w:r>
        <w:rPr>
          <w:rFonts w:hint="eastAsia"/>
        </w:rPr>
        <w:t xml:space="preserve">是一家</w:t>
      </w:r>
      <w:r>
        <w:t xml:space="preserve"> 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$65.71。我们的Base模型认为每股价值约</w:t>
      </w:r>
      <w:r>
        <w:t xml:space="preserve"> </w:t>
      </w:r>
      <w:r>
        <w:rPr>
          <w:rFonts w:hint="eastAsia"/>
        </w:rPr>
        <w:t xml:space="preserve">$8（-87.2%）。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rPr>
          <w:rFonts w:hint="eastAsia"/>
        </w:rPr>
        <w:t xml:space="preserve">]（实际、预期、超预期%）。下次财报约</w:t>
      </w:r>
      <w:r>
        <w:t xml:space="preserve"> 2026-11-10。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Small/medium launch + space systems </w:t>
      </w:r>
      <w:r>
        <w:rPr>
          <w:rFonts w:hint="eastAsia"/>
        </w:rPr>
        <w:t xml:space="preserve">中小型发射+航天系统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0.8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41.3%；m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-48.3%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-0.4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-0.3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41.3%；价格隐含增速</w:t>
      </w:r>
      <w:r>
        <w:t xml:space="preserve"> 115.2%。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 / Base $8 / Bull </w:t>
      </w:r>
      <w:r>
        <w:rPr>
          <w:rFonts w:hint="eastAsia"/>
        </w:rPr>
        <w:t xml:space="preserve">$15；概率加权</w:t>
      </w:r>
      <w:r>
        <w:t xml:space="preserve"> $9。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Neutron slip beyond guided window; backlog growth </w:t>
      </w:r>
      <w:r>
        <w:rPr>
          <w:rFonts w:hint="eastAsia"/>
        </w:rPr>
        <w:t xml:space="preserve">stalls｜Neutron超出指引窗口；积压停滞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d97cefa10ea3ef603e01f9393300e156e1a9de0"/>
    <w:p>
      <w:pPr>
        <w:pStyle w:val="Heading1"/>
      </w:pPr>
      <w:r>
        <w:t xml:space="preserve">RKLB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Rocket Lab Corporation is a Small/medium launch + space systems </w:t>
      </w:r>
      <w:r>
        <w:rPr>
          <w:rFonts w:hint="eastAsia"/>
        </w:rPr>
        <w:t xml:space="preserve">中小型发射+航天系统</w:t>
      </w:r>
      <w:r>
        <w:t xml:space="preserve"> company. Price $65.71; our Base model value ≈ $8 (-87.2%).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‘-0.08’</w:t>
      </w:r>
      <w:r>
        <w:t xml:space="preserve">,</w:t>
      </w:r>
      <w:r>
        <w:t xml:space="preserve"> </w:t>
      </w:r>
      <w:r>
        <w:t xml:space="preserve">‘-0.07667’</w:t>
      </w:r>
      <w:r>
        <w:t xml:space="preserve">,</w:t>
      </w:r>
      <w:r>
        <w:t xml:space="preserve"> </w:t>
      </w:r>
      <w:r>
        <w:t xml:space="preserve">‘-0.0434’</w:t>
      </w:r>
      <w:r>
        <w:t xml:space="preserve">]. Next earnings ≈ 2026-11-10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0.8 bn USD; g₁ = 41.3%; m = long-run FCF margin = 15.0%; W = 13.2%.</w:t>
      </w:r>
      <w:r>
        <w:t xml:space="preserve"> </w:t>
      </w:r>
      <w:r>
        <w:t xml:space="preserve">R₁ = R₀×(1+g₁) = 1.1 bn USD; FCF₁ = -0.4 bn USD; PV = FCF₁/(1+W) = -0.3 bn USD; 10 years + terminal → EV 3.2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41.3%; price-implied growth 115.2%.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 / Base $8 / Bull $15; weighted $9.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Neutron delays; SpaceX price competition; </w:t>
      </w:r>
      <w:r>
        <w:rPr>
          <w:rFonts w:hint="eastAsia"/>
        </w:rPr>
        <w:t xml:space="preserve">dilution｜Neutron延期；SpaceX压价；稀释</w:t>
      </w:r>
      <w:r>
        <w:t xml:space="preserve"> — Falsifiers: Neutron slip beyond guided window; backlog growth </w:t>
      </w:r>
      <w:r>
        <w:rPr>
          <w:rFonts w:hint="eastAsia"/>
        </w:rPr>
        <w:t xml:space="preserve">stalls｜Neutron超出指引窗口；积压停滞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RKLB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2026-10-13T08:25:05Z</dcterms:created>
  <dcterms:modified xsi:type="dcterms:W3CDTF">2026-10-13T08:25:05Z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