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f37b8c1373d5fd5119dd82e0e27e0482491e8e"/>
    <w:p>
      <w:pPr>
        <w:pStyle w:val="Heading1"/>
      </w:pPr>
      <w:r>
        <w:t xml:space="preserve">SPCX Space Exploration Technologies Corp. — </w:t>
      </w:r>
      <w:r>
        <w:rPr>
          <w:rFonts w:hint="eastAsia"/>
        </w:rPr>
        <w:t xml:space="preserve">个股深度研究</w:t>
      </w:r>
      <w:r>
        <w:t xml:space="preserve"> </w:t>
      </w:r>
      <w:r>
        <w:rPr>
          <w:rFonts w:hint="eastAsia"/>
        </w:rPr>
        <w:t xml:space="preserve">(专业中文版)</w:t>
      </w:r>
      <w:r>
        <w:t xml:space="preserve"> v20261013-1812</w:t>
      </w:r>
    </w:p>
    <w:p>
      <w:pPr>
        <w:pStyle w:val="BlockText"/>
      </w:pPr>
      <w:r>
        <w:rPr>
          <w:rFonts w:hint="eastAsia"/>
        </w:rPr>
        <w:t xml:space="preserve">数据截至</w:t>
      </w:r>
      <w:r>
        <w:t xml:space="preserve"> 2026-10-13 18:12 </w:t>
      </w:r>
      <w:r>
        <w:rPr>
          <w:rFonts w:hint="eastAsia"/>
        </w:rPr>
        <w:t xml:space="preserve">SGT｜价格</w:t>
      </w:r>
      <w:r>
        <w:t xml:space="preserve"> </w:t>
      </w:r>
      <w:r>
        <w:rPr>
          <w:rFonts w:hint="eastAsia"/>
        </w:rPr>
        <w:t xml:space="preserve">$163.42｜市值</w:t>
      </w:r>
      <w:r>
        <w:t xml:space="preserve"> 2,154.2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上市后的SpaceX核心价值在Starlink订阅现金流与发射垄断地位；估值高度依赖Starship降本与直连手机(D2C)等远期期权，市场定价包含大量远期增长。</w:t>
      </w:r>
    </w:p>
    <w:p>
      <w:pPr>
        <w:pStyle w:val="Compact"/>
        <w:numPr>
          <w:ilvl w:val="0"/>
          <w:numId w:val="1001"/>
        </w:numPr>
      </w:pPr>
      <w:r>
        <w:rPr>
          <w:rFonts w:hint="eastAsia"/>
          <w:b/>
          <w:bCs/>
        </w:rPr>
        <w:t xml:space="preserve">多头驱动</w:t>
      </w:r>
      <w:r>
        <w:t xml:space="preserve">: Starship reusability drives cost/kg sharply lower; D2C and enterprise/airline adoption </w:t>
      </w:r>
      <w:r>
        <w:rPr>
          <w:rFonts w:hint="eastAsia"/>
        </w:rPr>
        <w:t xml:space="preserve">accelerate｜星舰复用大幅降本；D2C与航空/企业加速</w:t>
      </w:r>
    </w:p>
    <w:p>
      <w:pPr>
        <w:pStyle w:val="Compact"/>
        <w:numPr>
          <w:ilvl w:val="0"/>
          <w:numId w:val="1001"/>
        </w:numPr>
      </w:pPr>
      <w:r>
        <w:rPr>
          <w:rFonts w:hint="eastAsia"/>
          <w:b/>
          <w:bCs/>
        </w:rPr>
        <w:t xml:space="preserve">空头驱动</w:t>
      </w:r>
      <w:r>
        <w:t xml:space="preserve">: IPO-lockup supply, Starship delays, regulatory/spectrum pushback, governance </w:t>
      </w:r>
      <w:r>
        <w:rPr>
          <w:rFonts w:hint="eastAsia"/>
        </w:rPr>
        <w:t xml:space="preserve">concentration｜解禁抛压、星舰延误、监管/频谱、治理集中</w:t>
      </w:r>
    </w:p>
    <w:p>
      <w:pPr>
        <w:pStyle w:val="Compact"/>
        <w:numPr>
          <w:ilvl w:val="0"/>
          <w:numId w:val="1001"/>
        </w:numPr>
      </w:pPr>
      <w:r>
        <w:rPr>
          <w:rFonts w:hint="eastAsia"/>
          <w:b/>
          <w:bCs/>
        </w:rPr>
        <w:t xml:space="preserve">证伪条件</w:t>
      </w:r>
      <w:r>
        <w:rPr>
          <w:b/>
          <w:bCs/>
        </w:rPr>
        <w:t xml:space="preserve"> Falsifiers</w:t>
      </w:r>
      <w:r>
        <w:t xml:space="preserve">: Starlink subscriber growth decelerating for 2+ quarters; Starship flight-rate targets missed; FCF stays </w:t>
      </w:r>
      <w:r>
        <w:rPr>
          <w:rFonts w:hint="eastAsia"/>
        </w:rPr>
        <w:t xml:space="preserve">negative｜Starlink用户增速连续两季放缓；星舰发射次数不达标；FCF持续为负</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Space/Satellite broadband </w:t>
      </w:r>
      <w:r>
        <w:rPr>
          <w:rFonts w:hint="eastAsia"/>
        </w:rPr>
        <w:t xml:space="preserve">航天/卫星宽带</w:t>
      </w:r>
    </w:p>
    <w:p>
      <w:pPr>
        <w:pStyle w:val="Compact"/>
        <w:numPr>
          <w:ilvl w:val="0"/>
          <w:numId w:val="1002"/>
        </w:numPr>
      </w:pPr>
      <w:r>
        <w:rPr>
          <w:rFonts w:hint="eastAsia"/>
        </w:rPr>
        <w:t xml:space="preserve">业务分部</w:t>
      </w:r>
      <w:r>
        <w:t xml:space="preserve"> Segments: Starlink </w:t>
      </w:r>
      <w:r>
        <w:rPr>
          <w:rFonts w:hint="eastAsia"/>
        </w:rPr>
        <w:t xml:space="preserve">卫星宽带；Launch</w:t>
      </w:r>
      <w:r>
        <w:t xml:space="preserve"> </w:t>
      </w:r>
      <w:r>
        <w:rPr>
          <w:rFonts w:hint="eastAsia"/>
        </w:rPr>
        <w:t xml:space="preserve">发射服务；Government/Defense</w:t>
      </w:r>
      <w:r>
        <w:t xml:space="preserve"> </w:t>
      </w:r>
      <w:r>
        <w:rPr>
          <w:rFonts w:hint="eastAsia"/>
        </w:rPr>
        <w:t xml:space="preserve">政府国防；Other</w:t>
      </w:r>
      <w:r>
        <w:t xml:space="preserve"> bets </w:t>
      </w:r>
      <w:r>
        <w:rPr>
          <w:rFonts w:hint="eastAsia"/>
        </w:rPr>
        <w:t xml:space="preserve">其他(AI/Starship等)</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Space Exploration Technologies Corp. provides satellite-based broadband services in the United States, Ireland, Canada, and internationally. It operates through three operating segments: Space, Connectivity, and AI. The Space segment designs, manufactures, and launches reusable rockets to provide access to space. It also provides launch services for the deployment of payloads to intended orbits for commercial and government customers utilizing Falcon 9 and Falcon Heavy; and engages in the launch and development for the development of spacecraft and the provision of launch and mission services for government agency space programs utilizing Falcon 9, Falcon Heavy, Starship, and Dragon. Its company’s Connectivity segment operates broadband data and communications network by various Starlink satellites in low-earth orbit, delivering connectivity to various consumers, enterprise, and governme</w:t>
      </w:r>
    </w:p>
    <w:p>
      <w:pPr>
        <w:pStyle w:val="Compact"/>
        <w:numPr>
          <w:ilvl w:val="0"/>
          <w:numId w:val="1002"/>
        </w:numPr>
      </w:pPr>
      <w:r>
        <w:rPr>
          <w:rFonts w:hint="eastAsia"/>
        </w:rPr>
        <w:t xml:space="preserve">主要客户:</w:t>
      </w:r>
      <w:r>
        <w:t xml:space="preserve"> Consumers &amp; enterprises (Starlink), NASA/DoD/NRO, commercial satellite </w:t>
      </w:r>
      <w:r>
        <w:rPr>
          <w:rFonts w:hint="eastAsia"/>
        </w:rPr>
        <w:t xml:space="preserve">operators｜消费者与企业、NASA/美国国防部、商业卫星运营商</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In-house vertical integration; RF components, solar cells, chips (merchant </w:t>
      </w:r>
      <w:r>
        <w:rPr>
          <w:rFonts w:hint="eastAsia"/>
        </w:rPr>
        <w:t xml:space="preserve">semis)｜高度垂直整合；射频器件、太阳能电池、商用芯片</w:t>
      </w:r>
    </w:p>
    <w:p>
      <w:pPr>
        <w:pStyle w:val="Compact"/>
        <w:numPr>
          <w:ilvl w:val="0"/>
          <w:numId w:val="1003"/>
        </w:numPr>
      </w:pPr>
      <w:r>
        <w:rPr>
          <w:rFonts w:hint="eastAsia"/>
        </w:rPr>
        <w:t xml:space="preserve">竞争者</w:t>
      </w:r>
      <w:r>
        <w:t xml:space="preserve"> </w:t>
      </w:r>
      <w:r>
        <w:rPr>
          <w:rFonts w:hint="eastAsia"/>
        </w:rPr>
        <w:t xml:space="preserve">(含业外):</w:t>
      </w:r>
      <w:r>
        <w:t xml:space="preserve"> Amazon Kuiper, OneWeb/Eutelsat, ULA, Blue Origin, Rocket Lab, China state </w:t>
      </w:r>
      <w:r>
        <w:rPr>
          <w:rFonts w:hint="eastAsia"/>
        </w:rPr>
        <w:t xml:space="preserve">launch｜亚马逊Kuiper、OneWeb、ULA、Blue</w:t>
      </w:r>
      <w:r>
        <w:t xml:space="preserve"> Origin、Rocket </w:t>
      </w:r>
      <w:r>
        <w:rPr>
          <w:rFonts w:hint="eastAsia"/>
        </w:rPr>
        <w:t xml:space="preserve">Lab、中国国家队</w:t>
      </w:r>
    </w:p>
    <w:p>
      <w:pPr>
        <w:pStyle w:val="Compact"/>
        <w:numPr>
          <w:ilvl w:val="0"/>
          <w:numId w:val="1003"/>
        </w:numPr>
      </w:pPr>
      <w:r>
        <w:rPr>
          <w:rFonts w:hint="eastAsia"/>
        </w:rPr>
        <w:t xml:space="preserve">瓶颈/监管:</w:t>
      </w:r>
      <w:r>
        <w:t xml:space="preserve"> Starship cadence, spectrum rights, user-terminal cost, launch-site permits </w:t>
      </w:r>
      <w:r>
        <w:rPr>
          <w:rFonts w:hint="eastAsia"/>
        </w:rPr>
        <w:t xml:space="preserve">(FAA)｜星舰发射节奏、频谱、终端成本、FAA许可</w:t>
      </w:r>
    </w:p>
    <w:p>
      <w:pPr>
        <w:pStyle w:val="Compact"/>
        <w:numPr>
          <w:ilvl w:val="0"/>
          <w:numId w:val="1003"/>
        </w:numPr>
      </w:pPr>
      <w:r>
        <w:rPr>
          <w:rFonts w:hint="eastAsia"/>
        </w:rPr>
        <w:t xml:space="preserve">关键KPI:</w:t>
      </w:r>
      <w:r>
        <w:t xml:space="preserve"> Starlink subscribers, ARPU, launches/yr, Starship flights, </w:t>
      </w:r>
      <w:r>
        <w:rPr>
          <w:rFonts w:hint="eastAsia"/>
        </w:rPr>
        <w:t xml:space="preserve">backlog｜订阅数、ARPU、年发射数、星舰飞行数、在手订单</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7.8 bn USD</w:t>
            </w:r>
          </w:p>
        </w:tc>
        <w:tc>
          <w:tcPr/>
          <w:p>
            <w:pPr>
              <w:pStyle w:val="Compact"/>
            </w:pPr>
            <w:r>
              <w:t xml:space="preserve">4.3 bn USD</w:t>
            </w:r>
          </w:p>
        </w:tc>
        <w:tc>
          <w:tcPr/>
          <w:p>
            <w:pPr>
              <w:pStyle w:val="Compact"/>
            </w:pPr>
            <w:r>
              <w:t xml:space="preserve">-0.1 bn USD</w:t>
            </w:r>
          </w:p>
        </w:tc>
        <w:tc>
          <w:tcPr/>
          <w:p>
            <w:pPr>
              <w:pStyle w:val="Compact"/>
            </w:pPr>
            <w:r>
              <w:t xml:space="preserve">-0.5 bn USD</w:t>
            </w:r>
          </w:p>
        </w:tc>
        <w:tc>
          <w:tcPr/>
          <w:p>
            <w:pPr>
              <w:pStyle w:val="Compact"/>
            </w:pPr>
            <w:r>
              <w:t xml:space="preserve">-16.8 bn USD</w:t>
            </w:r>
          </w:p>
        </w:tc>
        <w:tc>
          <w:tcPr/>
          <w:p>
            <w:pPr>
              <w:pStyle w:val="Compact"/>
            </w:pPr>
            <w:r>
              <w:t xml:space="preserve">-1.8%</w:t>
            </w:r>
          </w:p>
        </w:tc>
      </w:tr>
      <w:tr>
        <w:tc>
          <w:tcPr/>
          <w:p>
            <w:pPr>
              <w:pStyle w:val="Compact"/>
            </w:pPr>
            <w:r>
              <w:t xml:space="preserve">2026-03-31</w:t>
            </w:r>
          </w:p>
        </w:tc>
        <w:tc>
          <w:tcPr/>
          <w:p>
            <w:pPr>
              <w:pStyle w:val="Compact"/>
            </w:pPr>
            <w:r>
              <w:t xml:space="preserve">4.7 bn USD</w:t>
            </w:r>
          </w:p>
        </w:tc>
        <w:tc>
          <w:tcPr/>
          <w:p>
            <w:pPr>
              <w:pStyle w:val="Compact"/>
            </w:pPr>
            <w:r>
              <w:t xml:space="preserve">2.3 bn USD</w:t>
            </w:r>
          </w:p>
        </w:tc>
        <w:tc>
          <w:tcPr/>
          <w:p>
            <w:pPr>
              <w:pStyle w:val="Compact"/>
            </w:pPr>
            <w:r>
              <w:t xml:space="preserve">-2.0 bn USD</w:t>
            </w:r>
          </w:p>
        </w:tc>
        <w:tc>
          <w:tcPr/>
          <w:p>
            <w:pPr>
              <w:pStyle w:val="Compact"/>
            </w:pPr>
            <w:r>
              <w:t xml:space="preserve">-4.3 bn USD</w:t>
            </w:r>
          </w:p>
        </w:tc>
        <w:tc>
          <w:tcPr/>
          <w:p>
            <w:pPr>
              <w:pStyle w:val="Compact"/>
            </w:pPr>
            <w:r>
              <w:t xml:space="preserve">-9.1 bn USD</w:t>
            </w:r>
          </w:p>
        </w:tc>
        <w:tc>
          <w:tcPr/>
          <w:p>
            <w:pPr>
              <w:pStyle w:val="Compact"/>
            </w:pPr>
            <w:r>
              <w:t xml:space="preserve">-41.6%</w:t>
            </w:r>
          </w:p>
        </w:tc>
      </w:tr>
      <w:tr>
        <w:tc>
          <w:tcPr/>
          <w:p>
            <w:pPr>
              <w:pStyle w:val="Compact"/>
            </w:pPr>
            <w:r>
              <w:t xml:space="preserve">2025-06-30</w:t>
            </w:r>
          </w:p>
        </w:tc>
        <w:tc>
          <w:tcPr/>
          <w:p>
            <w:pPr>
              <w:pStyle w:val="Compact"/>
            </w:pPr>
            <w:r>
              <w:t xml:space="preserve">4.1 bn USD</w:t>
            </w:r>
          </w:p>
        </w:tc>
        <w:tc>
          <w:tcPr/>
          <w:p>
            <w:pPr>
              <w:pStyle w:val="Compact"/>
            </w:pPr>
            <w:r>
              <w:t xml:space="preserve">1.8 bn USD</w:t>
            </w:r>
          </w:p>
        </w:tc>
        <w:tc>
          <w:tcPr/>
          <w:p>
            <w:pPr>
              <w:pStyle w:val="Compact"/>
            </w:pPr>
            <w:r>
              <w:t xml:space="preserve">-0.8 bn USD</w:t>
            </w:r>
          </w:p>
        </w:tc>
        <w:tc>
          <w:tcPr/>
          <w:p>
            <w:pPr>
              <w:pStyle w:val="Compact"/>
            </w:pPr>
            <w:r>
              <w:t xml:space="preserve">-1.0 bn USD</w:t>
            </w:r>
          </w:p>
        </w:tc>
        <w:tc>
          <w:tcPr/>
          <w:p>
            <w:pPr>
              <w:pStyle w:val="Compact"/>
            </w:pPr>
            <w:r>
              <w:t xml:space="preserve">-3.2 bn USD</w:t>
            </w:r>
          </w:p>
        </w:tc>
        <w:tc>
          <w:tcPr/>
          <w:p>
            <w:pPr>
              <w:pStyle w:val="Compact"/>
            </w:pPr>
            <w:r>
              <w:t xml:space="preserve">-19.0%</w:t>
            </w:r>
          </w:p>
        </w:tc>
      </w:tr>
      <w:tr>
        <w:tc>
          <w:tcPr/>
          <w:p>
            <w:pPr>
              <w:pStyle w:val="Compact"/>
            </w:pPr>
            <w:r>
              <w:t xml:space="preserve">2025-03-31</w:t>
            </w:r>
          </w:p>
        </w:tc>
        <w:tc>
          <w:tcPr/>
          <w:p>
            <w:pPr>
              <w:pStyle w:val="Compact"/>
            </w:pPr>
            <w:r>
              <w:t xml:space="preserve">4.1 bn USD</w:t>
            </w:r>
          </w:p>
        </w:tc>
        <w:tc>
          <w:tcPr/>
          <w:p>
            <w:pPr>
              <w:pStyle w:val="Compact"/>
            </w:pPr>
            <w:r>
              <w:t xml:space="preserve">2.1 bn USD</w:t>
            </w:r>
          </w:p>
        </w:tc>
        <w:tc>
          <w:tcPr/>
          <w:p>
            <w:pPr>
              <w:pStyle w:val="Compact"/>
            </w:pPr>
            <w:r>
              <w:t xml:space="preserve">55.0 mn USD</w:t>
            </w:r>
          </w:p>
        </w:tc>
        <w:tc>
          <w:tcPr/>
          <w:p>
            <w:pPr>
              <w:pStyle w:val="Compact"/>
            </w:pPr>
            <w:r>
              <w:t xml:space="preserve">-0.5 bn USD</w:t>
            </w:r>
          </w:p>
        </w:tc>
        <w:tc>
          <w:tcPr/>
          <w:p>
            <w:pPr>
              <w:pStyle w:val="Compact"/>
            </w:pPr>
            <w:r>
              <w:t xml:space="preserve">-3.4 bn USD</w:t>
            </w:r>
          </w:p>
        </w:tc>
        <w:tc>
          <w:tcPr/>
          <w:p>
            <w:pPr>
              <w:pStyle w:val="Compact"/>
            </w:pPr>
            <w:r>
              <w:t xml:space="preserve">1.4%</w:t>
            </w:r>
          </w:p>
        </w:tc>
      </w:tr>
    </w:tbl>
    <w:p>
      <w:pPr>
        <w:pStyle w:val="BodyText"/>
      </w:pPr>
      <w:r>
        <w:rPr>
          <w:rFonts w:hint="eastAsia"/>
        </w:rPr>
        <w:t xml:space="preserve">资产负债:</w:t>
      </w:r>
      <w:r>
        <w:t xml:space="preserve"> </w:t>
      </w:r>
      <w:r>
        <w:rPr>
          <w:rFonts w:hint="eastAsia"/>
        </w:rPr>
        <w:t xml:space="preserve">现金</w:t>
      </w:r>
      <w:r>
        <w:t xml:space="preserve"> 100.0 bn </w:t>
      </w:r>
      <w:r>
        <w:rPr>
          <w:rFonts w:hint="eastAsia"/>
        </w:rPr>
        <w:t xml:space="preserve">USD；总负债</w:t>
      </w:r>
      <w:r>
        <w:t xml:space="preserve"> 39.7 bn </w:t>
      </w:r>
      <w:r>
        <w:rPr>
          <w:rFonts w:hint="eastAsia"/>
        </w:rPr>
        <w:t xml:space="preserve">USD；净现金</w:t>
      </w:r>
      <w:r>
        <w:t xml:space="preserve"> 60.3 bn USD。TTM FCF -32.5 bn </w:t>
      </w:r>
      <w:r>
        <w:rPr>
          <w:rFonts w:hint="eastAsia"/>
        </w:rPr>
        <w:t xml:space="preserve">USD（FCF率</w:t>
      </w:r>
      <w:r>
        <w:t xml:space="preserve"> </w:t>
      </w:r>
      <w:r>
        <w:rPr>
          <w:rFonts w:hint="eastAsia"/>
        </w:rPr>
        <w:t xml:space="preserve">-50.0%）。</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2026-03-31</w:t>
            </w:r>
          </w:p>
        </w:tc>
        <w:tc>
          <w:tcPr/>
          <w:p>
            <w:pPr>
              <w:pStyle w:val="Compact"/>
            </w:pPr>
            <w:r>
              <w:t xml:space="preserve">-1.27</w:t>
            </w:r>
          </w:p>
        </w:tc>
        <w:tc>
          <w:tcPr/>
          <w:p>
            <w:pPr>
              <w:pStyle w:val="Compact"/>
            </w:pPr>
          </w:p>
        </w:tc>
        <w:tc>
          <w:tcPr/>
          <w:p>
            <w:pPr>
              <w:pStyle w:val="Compact"/>
            </w:pPr>
          </w:p>
        </w:tc>
      </w:tr>
      <w:tr>
        <w:tc>
          <w:tcPr/>
          <w:p>
            <w:pPr>
              <w:pStyle w:val="Compact"/>
            </w:pPr>
            <w:r>
              <w:t xml:space="preserve">2026-06-30</w:t>
            </w:r>
          </w:p>
        </w:tc>
        <w:tc>
          <w:tcPr/>
          <w:p>
            <w:pPr>
              <w:pStyle w:val="Compact"/>
            </w:pPr>
            <w:r>
              <w:t xml:space="preserve">-0.09</w:t>
            </w:r>
          </w:p>
        </w:tc>
        <w:tc>
          <w:tcPr/>
          <w:p>
            <w:pPr>
              <w:pStyle w:val="Compact"/>
            </w:pPr>
            <w:r>
              <w:t xml:space="preserve">-0.28931</w:t>
            </w:r>
          </w:p>
        </w:tc>
        <w:tc>
          <w:tcPr/>
          <w:p>
            <w:pPr>
              <w:pStyle w:val="Compact"/>
            </w:pPr>
            <w:r>
              <w:t xml:space="preserve">0.6889</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2026-11-04</w:t>
      </w:r>
      <w:r>
        <w:rPr>
          <w:rFonts w:hint="eastAsia"/>
        </w:rPr>
        <w:t xml:space="preserve">；本季EPS一致预期</w:t>
      </w:r>
      <w:r>
        <w:t xml:space="preserve"> </w:t>
      </w:r>
      <w:r>
        <w:rPr>
          <w:rFonts w:hint="eastAsia"/>
        </w:rPr>
        <w:t xml:space="preserve">0.16749（16位分析师）；收入一致预期</w:t>
      </w:r>
      <w:r>
        <w:t xml:space="preserve"> 13.0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$-8.85</w:t>
            </w:r>
          </w:p>
        </w:tc>
        <w:tc>
          <w:tcPr/>
          <w:p>
            <w:pPr>
              <w:pStyle w:val="Compact"/>
            </w:pPr>
            <w:r>
              <w:t xml:space="preserve">-105.4%</w:t>
            </w:r>
          </w:p>
        </w:tc>
      </w:tr>
      <w:tr>
        <w:tc>
          <w:tcPr/>
          <w:p>
            <w:pPr>
              <w:pStyle w:val="Compact"/>
            </w:pPr>
            <w:r>
              <w:t xml:space="preserve">2Q</w:t>
            </w:r>
          </w:p>
        </w:tc>
        <w:tc>
          <w:tcPr/>
          <w:p>
            <w:pPr>
              <w:pStyle w:val="Compact"/>
            </w:pPr>
            <w:r>
              <w:t xml:space="preserve">Base</w:t>
            </w:r>
          </w:p>
        </w:tc>
        <w:tc>
          <w:tcPr/>
          <w:p>
            <w:pPr>
              <w:pStyle w:val="Compact"/>
            </w:pPr>
            <w:r>
              <w:t xml:space="preserve">$-27.83</w:t>
            </w:r>
          </w:p>
        </w:tc>
        <w:tc>
          <w:tcPr/>
          <w:p>
            <w:pPr>
              <w:pStyle w:val="Compact"/>
            </w:pPr>
            <w:r>
              <w:t xml:space="preserve">-117.0%</w:t>
            </w:r>
          </w:p>
        </w:tc>
      </w:tr>
      <w:tr>
        <w:tc>
          <w:tcPr/>
          <w:p>
            <w:pPr>
              <w:pStyle w:val="Compact"/>
            </w:pPr>
            <w:r>
              <w:t xml:space="preserve">2Q</w:t>
            </w:r>
          </w:p>
        </w:tc>
        <w:tc>
          <w:tcPr/>
          <w:p>
            <w:pPr>
              <w:pStyle w:val="Compact"/>
            </w:pPr>
            <w:r>
              <w:t xml:space="preserve">Bull</w:t>
            </w:r>
          </w:p>
        </w:tc>
        <w:tc>
          <w:tcPr/>
          <w:p>
            <w:pPr>
              <w:pStyle w:val="Compact"/>
            </w:pPr>
            <w:r>
              <w:t xml:space="preserve">$-49.04</w:t>
            </w:r>
          </w:p>
        </w:tc>
        <w:tc>
          <w:tcPr/>
          <w:p>
            <w:pPr>
              <w:pStyle w:val="Compact"/>
            </w:pPr>
            <w:r>
              <w:t xml:space="preserve">-130.0%</w:t>
            </w:r>
          </w:p>
        </w:tc>
      </w:tr>
      <w:tr>
        <w:tc>
          <w:tcPr/>
          <w:p>
            <w:pPr>
              <w:pStyle w:val="Compact"/>
            </w:pPr>
            <w:r>
              <w:t xml:space="preserve">4Q</w:t>
            </w:r>
          </w:p>
        </w:tc>
        <w:tc>
          <w:tcPr/>
          <w:p>
            <w:pPr>
              <w:pStyle w:val="Compact"/>
            </w:pPr>
            <w:r>
              <w:t xml:space="preserve">Bear</w:t>
            </w:r>
          </w:p>
        </w:tc>
        <w:tc>
          <w:tcPr/>
          <w:p>
            <w:pPr>
              <w:pStyle w:val="Compact"/>
            </w:pPr>
            <w:r>
              <w:t xml:space="preserve">$-7.46</w:t>
            </w:r>
          </w:p>
        </w:tc>
        <w:tc>
          <w:tcPr/>
          <w:p>
            <w:pPr>
              <w:pStyle w:val="Compact"/>
            </w:pPr>
            <w:r>
              <w:t xml:space="preserve">-104.6%</w:t>
            </w:r>
          </w:p>
        </w:tc>
      </w:tr>
      <w:tr>
        <w:tc>
          <w:tcPr/>
          <w:p>
            <w:pPr>
              <w:pStyle w:val="Compact"/>
            </w:pPr>
            <w:r>
              <w:t xml:space="preserve">4Q</w:t>
            </w:r>
          </w:p>
        </w:tc>
        <w:tc>
          <w:tcPr/>
          <w:p>
            <w:pPr>
              <w:pStyle w:val="Compact"/>
            </w:pPr>
            <w:r>
              <w:t xml:space="preserve">Base</w:t>
            </w:r>
          </w:p>
        </w:tc>
        <w:tc>
          <w:tcPr/>
          <w:p>
            <w:pPr>
              <w:pStyle w:val="Compact"/>
            </w:pPr>
            <w:r>
              <w:t xml:space="preserve">$-27.20</w:t>
            </w:r>
          </w:p>
        </w:tc>
        <w:tc>
          <w:tcPr/>
          <w:p>
            <w:pPr>
              <w:pStyle w:val="Compact"/>
            </w:pPr>
            <w:r>
              <w:t xml:space="preserve">-116.6%</w:t>
            </w:r>
          </w:p>
        </w:tc>
      </w:tr>
      <w:tr>
        <w:tc>
          <w:tcPr/>
          <w:p>
            <w:pPr>
              <w:pStyle w:val="Compact"/>
            </w:pPr>
            <w:r>
              <w:t xml:space="preserve">4Q</w:t>
            </w:r>
          </w:p>
        </w:tc>
        <w:tc>
          <w:tcPr/>
          <w:p>
            <w:pPr>
              <w:pStyle w:val="Compact"/>
            </w:pPr>
            <w:r>
              <w:t xml:space="preserve">Bull</w:t>
            </w:r>
          </w:p>
        </w:tc>
        <w:tc>
          <w:tcPr/>
          <w:p>
            <w:pPr>
              <w:pStyle w:val="Compact"/>
            </w:pPr>
            <w:r>
              <w:t xml:space="preserve">$-49.73</w:t>
            </w:r>
          </w:p>
        </w:tc>
        <w:tc>
          <w:tcPr/>
          <w:p>
            <w:pPr>
              <w:pStyle w:val="Compact"/>
            </w:pPr>
            <w:r>
              <w:t xml:space="preserve">-130.4%</w:t>
            </w:r>
          </w:p>
        </w:tc>
      </w:tr>
      <w:tr>
        <w:tc>
          <w:tcPr/>
          <w:p>
            <w:pPr>
              <w:pStyle w:val="Compact"/>
            </w:pPr>
            <w:r>
              <w:t xml:space="preserve">6Q</w:t>
            </w:r>
          </w:p>
        </w:tc>
        <w:tc>
          <w:tcPr/>
          <w:p>
            <w:pPr>
              <w:pStyle w:val="Compact"/>
            </w:pPr>
            <w:r>
              <w:t xml:space="preserve">Bear</w:t>
            </w:r>
          </w:p>
        </w:tc>
        <w:tc>
          <w:tcPr/>
          <w:p>
            <w:pPr>
              <w:pStyle w:val="Compact"/>
            </w:pPr>
            <w:r>
              <w:t xml:space="preserve">$-5.23</w:t>
            </w:r>
          </w:p>
        </w:tc>
        <w:tc>
          <w:tcPr/>
          <w:p>
            <w:pPr>
              <w:pStyle w:val="Compact"/>
            </w:pPr>
            <w:r>
              <w:t xml:space="preserve">-103.2%</w:t>
            </w:r>
          </w:p>
        </w:tc>
      </w:tr>
      <w:tr>
        <w:tc>
          <w:tcPr/>
          <w:p>
            <w:pPr>
              <w:pStyle w:val="Compact"/>
            </w:pPr>
            <w:r>
              <w:t xml:space="preserve">6Q</w:t>
            </w:r>
          </w:p>
        </w:tc>
        <w:tc>
          <w:tcPr/>
          <w:p>
            <w:pPr>
              <w:pStyle w:val="Compact"/>
            </w:pPr>
            <w:r>
              <w:t xml:space="preserve">Base</w:t>
            </w:r>
          </w:p>
        </w:tc>
        <w:tc>
          <w:tcPr/>
          <w:p>
            <w:pPr>
              <w:pStyle w:val="Compact"/>
            </w:pPr>
            <w:r>
              <w:t xml:space="preserve">$-22.30</w:t>
            </w:r>
          </w:p>
        </w:tc>
        <w:tc>
          <w:tcPr/>
          <w:p>
            <w:pPr>
              <w:pStyle w:val="Compact"/>
            </w:pPr>
            <w:r>
              <w:t xml:space="preserve">-113.6%</w:t>
            </w:r>
          </w:p>
        </w:tc>
      </w:tr>
      <w:tr>
        <w:tc>
          <w:tcPr/>
          <w:p>
            <w:pPr>
              <w:pStyle w:val="Compact"/>
            </w:pPr>
            <w:r>
              <w:t xml:space="preserve">6Q</w:t>
            </w:r>
          </w:p>
        </w:tc>
        <w:tc>
          <w:tcPr/>
          <w:p>
            <w:pPr>
              <w:pStyle w:val="Compact"/>
            </w:pPr>
            <w:r>
              <w:t xml:space="preserve">Bull</w:t>
            </w:r>
          </w:p>
        </w:tc>
        <w:tc>
          <w:tcPr/>
          <w:p>
            <w:pPr>
              <w:pStyle w:val="Compact"/>
            </w:pPr>
            <w:r>
              <w:t xml:space="preserve">$-40.57</w:t>
            </w:r>
          </w:p>
        </w:tc>
        <w:tc>
          <w:tcPr/>
          <w:p>
            <w:pPr>
              <w:pStyle w:val="Compact"/>
            </w:pPr>
            <w:r>
              <w:t xml:space="preserve">-124.8%</w:t>
            </w:r>
          </w:p>
        </w:tc>
      </w:tr>
      <w:tr>
        <w:tc>
          <w:tcPr/>
          <w:p>
            <w:pPr>
              <w:pStyle w:val="Compact"/>
            </w:pPr>
            <w:r>
              <w:t xml:space="preserve">8Q</w:t>
            </w:r>
          </w:p>
        </w:tc>
        <w:tc>
          <w:tcPr/>
          <w:p>
            <w:pPr>
              <w:pStyle w:val="Compact"/>
            </w:pPr>
            <w:r>
              <w:t xml:space="preserve">Bear</w:t>
            </w:r>
          </w:p>
        </w:tc>
        <w:tc>
          <w:tcPr/>
          <w:p>
            <w:pPr>
              <w:pStyle w:val="Compact"/>
            </w:pPr>
            <w:r>
              <w:t xml:space="preserve">$-1.97</w:t>
            </w:r>
          </w:p>
        </w:tc>
        <w:tc>
          <w:tcPr/>
          <w:p>
            <w:pPr>
              <w:pStyle w:val="Compact"/>
            </w:pPr>
            <w:r>
              <w:t xml:space="preserve">-101.2%</w:t>
            </w:r>
          </w:p>
        </w:tc>
      </w:tr>
      <w:tr>
        <w:tc>
          <w:tcPr/>
          <w:p>
            <w:pPr>
              <w:pStyle w:val="Compact"/>
            </w:pPr>
            <w:r>
              <w:t xml:space="preserve">8Q</w:t>
            </w:r>
          </w:p>
        </w:tc>
        <w:tc>
          <w:tcPr/>
          <w:p>
            <w:pPr>
              <w:pStyle w:val="Compact"/>
            </w:pPr>
            <w:r>
              <w:t xml:space="preserve">Base</w:t>
            </w:r>
          </w:p>
        </w:tc>
        <w:tc>
          <w:tcPr/>
          <w:p>
            <w:pPr>
              <w:pStyle w:val="Compact"/>
            </w:pPr>
            <w:r>
              <w:t xml:space="preserve">$-10.34</w:t>
            </w:r>
          </w:p>
        </w:tc>
        <w:tc>
          <w:tcPr/>
          <w:p>
            <w:pPr>
              <w:pStyle w:val="Compact"/>
            </w:pPr>
            <w:r>
              <w:t xml:space="preserve">-106.3%</w:t>
            </w:r>
          </w:p>
        </w:tc>
      </w:tr>
      <w:tr>
        <w:tc>
          <w:tcPr/>
          <w:p>
            <w:pPr>
              <w:pStyle w:val="Compact"/>
            </w:pPr>
            <w:r>
              <w:t xml:space="preserve">8Q</w:t>
            </w:r>
          </w:p>
        </w:tc>
        <w:tc>
          <w:tcPr/>
          <w:p>
            <w:pPr>
              <w:pStyle w:val="Compact"/>
            </w:pPr>
            <w:r>
              <w:t xml:space="preserve">Bull</w:t>
            </w:r>
          </w:p>
        </w:tc>
        <w:tc>
          <w:tcPr/>
          <w:p>
            <w:pPr>
              <w:pStyle w:val="Compact"/>
            </w:pPr>
            <w:r>
              <w:t xml:space="preserve">$-12.85</w:t>
            </w:r>
          </w:p>
        </w:tc>
        <w:tc>
          <w:tcPr/>
          <w:p>
            <w:pPr>
              <w:pStyle w:val="Compact"/>
            </w:pPr>
            <w:r>
              <w:t xml:space="preserve">-107.9%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50.0%</w:t>
            </w:r>
          </w:p>
        </w:tc>
        <w:tc>
          <w:tcPr/>
          <w:p>
            <w:pPr>
              <w:pStyle w:val="Compact"/>
            </w:pPr>
            <w:r>
              <w:t xml:space="preserve">20.0%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$19.72</w:t>
            </w:r>
          </w:p>
        </w:tc>
        <w:tc>
          <w:tcPr/>
          <w:p>
            <w:pPr>
              <w:pStyle w:val="Compact"/>
            </w:pPr>
            <w:r>
              <w:t xml:space="preserve">-87.9%</w:t>
            </w:r>
          </w:p>
        </w:tc>
      </w:tr>
      <w:tr>
        <w:tc>
          <w:tcPr/>
          <w:p>
            <w:pPr>
              <w:pStyle w:val="Compact"/>
            </w:pPr>
            <w:r>
              <w:t xml:space="preserve">Base</w:t>
            </w:r>
          </w:p>
        </w:tc>
        <w:tc>
          <w:tcPr/>
          <w:p>
            <w:pPr>
              <w:pStyle w:val="Compact"/>
            </w:pPr>
            <w:r>
              <w:t xml:space="preserve">100.0%</w:t>
            </w:r>
          </w:p>
        </w:tc>
        <w:tc>
          <w:tcPr/>
          <w:p>
            <w:pPr>
              <w:pStyle w:val="Compact"/>
            </w:pPr>
            <w:r>
              <w:t xml:space="preserve">25.0%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$131.31</w:t>
            </w:r>
          </w:p>
        </w:tc>
        <w:tc>
          <w:tcPr/>
          <w:p>
            <w:pPr>
              <w:pStyle w:val="Compact"/>
            </w:pPr>
            <w:r>
              <w:t xml:space="preserve">-19.6%</w:t>
            </w:r>
          </w:p>
        </w:tc>
      </w:tr>
      <w:tr>
        <w:tc>
          <w:tcPr/>
          <w:p>
            <w:pPr>
              <w:pStyle w:val="Compact"/>
            </w:pPr>
            <w:r>
              <w:t xml:space="preserve">Bull</w:t>
            </w:r>
          </w:p>
        </w:tc>
        <w:tc>
          <w:tcPr/>
          <w:p>
            <w:pPr>
              <w:pStyle w:val="Compact"/>
            </w:pPr>
            <w:r>
              <w:t xml:space="preserve">130.0%</w:t>
            </w:r>
          </w:p>
        </w:tc>
        <w:tc>
          <w:tcPr/>
          <w:p>
            <w:pPr>
              <w:pStyle w:val="Compact"/>
            </w:pPr>
            <w:r>
              <w:t xml:space="preserve">28.7%</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$395.33</w:t>
            </w:r>
          </w:p>
        </w:tc>
        <w:tc>
          <w:tcPr/>
          <w:p>
            <w:pPr>
              <w:pStyle w:val="Compact"/>
            </w:pPr>
            <w:r>
              <w:t xml:space="preserve">141.9%</w:t>
            </w:r>
          </w:p>
        </w:tc>
      </w:tr>
    </w:tbl>
    <w:p>
      <w:pPr>
        <w:pStyle w:val="BodyText"/>
      </w:pPr>
      <w:r>
        <w:rPr>
          <w:rFonts w:hint="eastAsia"/>
        </w:rPr>
        <w:t xml:space="preserve">概率加权价值</w:t>
      </w:r>
      <w:r>
        <w:t xml:space="preserve"> </w:t>
      </w:r>
      <w:r>
        <w:rPr>
          <w:b/>
          <w:bCs/>
        </w:rPr>
        <w:t xml:space="preserve">$169.42</w:t>
      </w:r>
      <w:r>
        <w:rPr>
          <w:rFonts w:hint="eastAsia"/>
        </w:rPr>
        <w:t xml:space="preserve">（相对现价</w:t>
      </w:r>
      <w:r>
        <w:t xml:space="preserve"> </w:t>
      </w:r>
      <w:r>
        <w:rPr>
          <w:rFonts w:hint="eastAsia"/>
        </w:rPr>
        <w:t xml:space="preserve">3.7%）。</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1,670.6 bn </w:t>
      </w:r>
      <w:r>
        <w:rPr>
          <w:rFonts w:hint="eastAsia"/>
        </w:rPr>
        <w:t xml:space="preserve">USD；终值占比</w:t>
      </w:r>
      <w:r>
        <w:t xml:space="preserve"> 68.9%。</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107.8%</w:t>
      </w:r>
      <w:r>
        <w:rPr>
          <w:rFonts w:hint="eastAsia"/>
        </w:rPr>
        <w:t xml:space="preserve">；一致预期FY+1增速</w:t>
      </w:r>
      <w:r>
        <w:t xml:space="preserve"> 100.0%。</w:t>
      </w:r>
    </w:p>
    <w:p>
      <w:pPr>
        <w:numPr>
          <w:ilvl w:val="0"/>
          <w:numId w:val="1005"/>
        </w:numPr>
      </w:pPr>
      <w:r>
        <w:t xml:space="preserve">WACC (CAPM) = rf 5.2% + β 1.30 × ERP 5.0% = 11.7%。</w:t>
      </w:r>
    </w:p>
    <w:p>
      <w:pPr>
        <w:numPr>
          <w:ilvl w:val="0"/>
          <w:numId w:val="1005"/>
        </w:numPr>
      </w:pPr>
      <w:r>
        <w:t xml:space="preserve">SOTP segments </w:t>
      </w:r>
      <w:r>
        <w:rPr>
          <w:rFonts w:hint="eastAsia"/>
        </w:rPr>
        <w:t xml:space="preserve">分部:</w:t>
      </w:r>
      <w:r>
        <w:t xml:space="preserve"> Starlink </w:t>
      </w:r>
      <w:r>
        <w:rPr>
          <w:rFonts w:hint="eastAsia"/>
        </w:rPr>
        <w:t xml:space="preserve">卫星宽带;</w:t>
      </w:r>
      <w:r>
        <w:t xml:space="preserve"> Launch </w:t>
      </w:r>
      <w:r>
        <w:rPr>
          <w:rFonts w:hint="eastAsia"/>
        </w:rPr>
        <w:t xml:space="preserve">发射服务;</w:t>
      </w:r>
      <w:r>
        <w:t xml:space="preserve"> Government/Defense </w:t>
      </w:r>
      <w:r>
        <w:rPr>
          <w:rFonts w:hint="eastAsia"/>
        </w:rPr>
        <w:t xml:space="preserve">政府国防;</w:t>
      </w:r>
      <w:r>
        <w:t xml:space="preserve"> Other bets </w:t>
      </w:r>
      <w:r>
        <w:rPr>
          <w:rFonts w:hint="eastAsia"/>
        </w:rPr>
        <w:t xml:space="preserve">其他(AI/Starship等).</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SPCX | 2,154.2 bn USD | 184.3x | 82.2x | 91.9% | 51.9% | -1.5% |</w:t>
      </w:r>
      <w:r>
        <w:t xml:space="preserve"> </w:t>
      </w:r>
      <w:r>
        <w:t xml:space="preserve">| RKLB | 42.0 bn USD | 48.3x | 1116.0x | 62.0% | 37.3% | -0.6% |</w:t>
      </w:r>
      <w:r>
        <w:t xml:space="preserve"> </w:t>
      </w:r>
      <w:r>
        <w:t xml:space="preserve">| ASTS | 20.0 bn USD | 144.3x | -40.0x | 2626.6% | 38.9% | -9.0% |</w:t>
      </w:r>
      <w:r>
        <w:t xml:space="preserve"> </w:t>
      </w:r>
      <w:r>
        <w:t xml:space="preserve">| IRDM | 5.0 bn USD | 7.5x | 27.4x | 3.8% | 71.9% | 4.8%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IPO-lockup supply, Starship delays, regulatory/spectrum pushback, governance </w:t>
      </w:r>
      <w:r>
        <w:rPr>
          <w:rFonts w:hint="eastAsia"/>
        </w:rPr>
        <w:t xml:space="preserve">concentration｜解禁抛压、星舰延误、监管/频谱、治理集中</w:t>
      </w:r>
    </w:p>
    <w:p>
      <w:pPr>
        <w:pStyle w:val="Compact"/>
        <w:numPr>
          <w:ilvl w:val="0"/>
          <w:numId w:val="1006"/>
        </w:numPr>
      </w:pPr>
      <w:r>
        <w:rPr>
          <w:rFonts w:hint="eastAsia"/>
        </w:rPr>
        <w:t xml:space="preserve">证伪指标:</w:t>
      </w:r>
      <w:r>
        <w:t xml:space="preserve"> Starlink subscriber growth decelerating for 2+ quarters; Starship flight-rate targets missed; FCF stays </w:t>
      </w:r>
      <w:r>
        <w:rPr>
          <w:rFonts w:hint="eastAsia"/>
        </w:rPr>
        <w:t xml:space="preserve">negative｜Starlink用户增速连续两季放缓；星舰发射次数不达标；FCF持续为负</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163.4</w:t>
            </w:r>
          </w:p>
        </w:tc>
        <w:tc>
          <w:tcPr/>
          <w:p>
            <w:pPr>
              <w:pStyle w:val="Compact"/>
            </w:pPr>
            <w:r>
              <w:t xml:space="preserve">Yahoo Finance quote, fetched 2026-10-13T18:12 SGT</w:t>
            </w:r>
          </w:p>
        </w:tc>
      </w:tr>
      <w:tr>
        <w:tc>
          <w:tcPr/>
          <w:p>
            <w:pPr>
              <w:pStyle w:val="Compact"/>
            </w:pPr>
            <w:r>
              <w:t xml:space="preserve">Market cap </w:t>
            </w:r>
            <w:r>
              <w:rPr>
                <w:rFonts w:hint="eastAsia"/>
              </w:rPr>
              <w:t xml:space="preserve">市值</w:t>
            </w:r>
          </w:p>
        </w:tc>
        <w:tc>
          <w:tcPr/>
          <w:p>
            <w:pPr>
              <w:pStyle w:val="Compact"/>
            </w:pPr>
            <w:r>
              <w:t xml:space="preserve">2.154e+12</w:t>
            </w:r>
          </w:p>
        </w:tc>
        <w:tc>
          <w:tcPr/>
          <w:p>
            <w:pPr>
              <w:pStyle w:val="Compact"/>
            </w:pPr>
            <w:r>
              <w:t xml:space="preserve">Yahoo info.marketCap 2026-10-13T18:12</w:t>
            </w:r>
          </w:p>
        </w:tc>
      </w:tr>
      <w:tr>
        <w:tc>
          <w:tcPr/>
          <w:p>
            <w:pPr>
              <w:pStyle w:val="Compact"/>
            </w:pPr>
            <w:r>
              <w:t xml:space="preserve">Cash </w:t>
            </w:r>
            <w:r>
              <w:rPr>
                <w:rFonts w:hint="eastAsia"/>
              </w:rPr>
              <w:t xml:space="preserve">现金</w:t>
            </w:r>
          </w:p>
        </w:tc>
        <w:tc>
          <w:tcPr/>
          <w:p>
            <w:pPr>
              <w:pStyle w:val="Compact"/>
            </w:pPr>
            <w:r>
              <w:t xml:space="preserve">1e+11</w:t>
            </w:r>
          </w:p>
        </w:tc>
        <w:tc>
          <w:tcPr/>
          <w:p>
            <w:pPr>
              <w:pStyle w:val="Compact"/>
            </w:pPr>
            <w:r>
              <w:t xml:space="preserve">Yahoo info.totalCash (latest filing) 2026-10-13T18:12</w:t>
            </w:r>
          </w:p>
        </w:tc>
      </w:tr>
      <w:tr>
        <w:tc>
          <w:tcPr/>
          <w:p>
            <w:pPr>
              <w:pStyle w:val="Compact"/>
            </w:pPr>
            <w:r>
              <w:t xml:space="preserve">Debt </w:t>
            </w:r>
            <w:r>
              <w:rPr>
                <w:rFonts w:hint="eastAsia"/>
              </w:rPr>
              <w:t xml:space="preserve">负债</w:t>
            </w:r>
          </w:p>
        </w:tc>
        <w:tc>
          <w:tcPr/>
          <w:p>
            <w:pPr>
              <w:pStyle w:val="Compact"/>
            </w:pPr>
            <w:r>
              <w:t xml:space="preserve">3.971e+10</w:t>
            </w:r>
          </w:p>
        </w:tc>
        <w:tc>
          <w:tcPr/>
          <w:p>
            <w:pPr>
              <w:pStyle w:val="Compact"/>
            </w:pPr>
            <w:r>
              <w:t xml:space="preserve">Yahoo info.totalDebt (latest filing) 2026-10-13T18:12</w:t>
            </w:r>
          </w:p>
        </w:tc>
      </w:tr>
      <w:tr>
        <w:tc>
          <w:tcPr/>
          <w:p>
            <w:pPr>
              <w:pStyle w:val="Compact"/>
            </w:pPr>
            <w:r>
              <w:t xml:space="preserve">Revenue TTM </w:t>
            </w:r>
            <w:r>
              <w:rPr>
                <w:rFonts w:hint="eastAsia"/>
              </w:rPr>
              <w:t xml:space="preserve">收入</w:t>
            </w:r>
          </w:p>
        </w:tc>
        <w:tc>
          <w:tcPr/>
          <w:p>
            <w:pPr>
              <w:pStyle w:val="Compact"/>
            </w:pPr>
            <w:r>
              <w:t xml:space="preserve">2.304e+10</w:t>
            </w:r>
          </w:p>
        </w:tc>
        <w:tc>
          <w:tcPr/>
          <w:p>
            <w:pPr>
              <w:pStyle w:val="Compact"/>
            </w:pPr>
            <w:r>
              <w:t xml:space="preserve">Yahoo info.totalRevenue (TTM, USD) 2026-10-13T18:12</w:t>
            </w:r>
          </w:p>
        </w:tc>
      </w:tr>
      <w:tr>
        <w:tc>
          <w:tcPr/>
          <w:p>
            <w:pPr>
              <w:pStyle w:val="Compact"/>
            </w:pPr>
            <w:r>
              <w:t xml:space="preserve">FCF TTM </w:t>
            </w:r>
            <w:r>
              <w:rPr>
                <w:rFonts w:hint="eastAsia"/>
              </w:rPr>
              <w:t xml:space="preserve">自由现金流</w:t>
            </w:r>
          </w:p>
        </w:tc>
        <w:tc>
          <w:tcPr/>
          <w:p>
            <w:pPr>
              <w:pStyle w:val="Compact"/>
            </w:pPr>
            <w:r>
              <w:t xml:space="preserve">-3.252e+10</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‘2025-06-30’</w:t>
            </w:r>
            <w:r>
              <w:t xml:space="preserve">,</w:t>
            </w:r>
            <w:r>
              <w:t xml:space="preserve"> </w:t>
            </w:r>
            <w:r>
              <w:t xml:space="preserve">‘2025-03-31’</w:t>
            </w:r>
            <w:r>
              <w:t xml:space="preserve">] (USD)</w:t>
            </w:r>
          </w:p>
        </w:tc>
      </w:tr>
      <w:tr>
        <w:tc>
          <w:tcPr/>
          <w:p>
            <w:pPr>
              <w:pStyle w:val="Compact"/>
            </w:pPr>
            <w:r>
              <w:t xml:space="preserve">Beta</w:t>
            </w:r>
          </w:p>
        </w:tc>
        <w:tc>
          <w:tcPr/>
          <w:p>
            <w:pPr>
              <w:pStyle w:val="Compact"/>
            </w:pPr>
            <w:r>
              <w:t xml:space="preserve">1.3</w:t>
            </w:r>
          </w:p>
        </w:tc>
        <w:tc>
          <w:tcPr/>
          <w:p>
            <w:pPr>
              <w:pStyle w:val="Compact"/>
            </w:pPr>
            <w:r>
              <w:t xml:space="preserve">ASSUMPTION (no beta history; recent IPO) = 1.3</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1.596</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1.30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1</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SPCX_model_v20261013-1812.xlsx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data/snapshots/20261013-1812</w:t>
      </w:r>
      <w:r>
        <w:t xml:space="preserve"> </w:t>
      </w:r>
      <w:r>
        <w:t xml:space="preserve">(immutable) | Fetched 2026-10-13 18:12 SGT | Generated 2026-10-13 18:12 SGT</w:t>
      </w:r>
    </w:p>
    <w:p>
      <w:pPr>
        <w:pStyle w:val="Compact"/>
        <w:numPr>
          <w:ilvl w:val="0"/>
          <w:numId w:val="1007"/>
        </w:numPr>
      </w:pPr>
      <w:r>
        <w:t xml:space="preserve">Version: v20261013-1812.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v20261013-1812: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2026-11-04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SPCX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SPCX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SPCX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SPCX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SPCX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e65e652bf863c6ed8bbbb47ca565d5ada88335c"/>
    <w:p>
      <w:pPr>
        <w:pStyle w:val="Heading1"/>
      </w:pPr>
      <w:r>
        <w:t xml:space="preserve">SPCX Space Exploration Technologies Corp. — Equity Deep Dive (Professional English) v20261013-1812</w:t>
      </w:r>
    </w:p>
    <w:p>
      <w:pPr>
        <w:pStyle w:val="BlockText"/>
      </w:pPr>
      <w:r>
        <w:t xml:space="preserve">Data as of 2026-10-13 18:12 SGT | Price $163.42 | Mkt cap 2,154.2 bn USD | Reporting currency USD | Not investment advice.</w:t>
      </w:r>
    </w:p>
    <w:bookmarkStart w:id="39" w:name="investment-thesis-hypothesis"/>
    <w:p>
      <w:pPr>
        <w:pStyle w:val="Heading2"/>
      </w:pPr>
      <w:r>
        <w:t xml:space="preserve">1. Investment thesis (HYPOTHESIS)</w:t>
      </w:r>
    </w:p>
    <w:p>
      <w:pPr>
        <w:pStyle w:val="FirstParagraph"/>
      </w:pPr>
      <w:r>
        <w:t xml:space="preserve">Post-IPO SpaceX value rests on Starlink subscription cash flow plus launch dominance; valuation leans heavily on long-dated options (Starship cost-down, direct-to-cell), so the price embeds aggressive long-run growth.</w:t>
      </w:r>
    </w:p>
    <w:p>
      <w:pPr>
        <w:pStyle w:val="Compact"/>
        <w:numPr>
          <w:ilvl w:val="0"/>
          <w:numId w:val="1009"/>
        </w:numPr>
      </w:pPr>
      <w:r>
        <w:rPr>
          <w:b/>
          <w:bCs/>
        </w:rPr>
        <w:t xml:space="preserve">Bull drivers</w:t>
      </w:r>
      <w:r>
        <w:t xml:space="preserve">: Starship reusability drives cost/kg sharply lower; D2C and enterprise/airline adoption </w:t>
      </w:r>
      <w:r>
        <w:rPr>
          <w:rFonts w:hint="eastAsia"/>
        </w:rPr>
        <w:t xml:space="preserve">accelerate｜星舰复用大幅降本；D2C与航空/企业加速</w:t>
      </w:r>
    </w:p>
    <w:p>
      <w:pPr>
        <w:pStyle w:val="Compact"/>
        <w:numPr>
          <w:ilvl w:val="0"/>
          <w:numId w:val="1009"/>
        </w:numPr>
      </w:pPr>
      <w:r>
        <w:rPr>
          <w:b/>
          <w:bCs/>
        </w:rPr>
        <w:t xml:space="preserve">Bear drivers</w:t>
      </w:r>
      <w:r>
        <w:t xml:space="preserve">: IPO-lockup supply, Starship delays, regulatory/spectrum pushback, governance </w:t>
      </w:r>
      <w:r>
        <w:rPr>
          <w:rFonts w:hint="eastAsia"/>
        </w:rPr>
        <w:t xml:space="preserve">concentration｜解禁抛压、星舰延误、监管/频谱、治理集中</w:t>
      </w:r>
    </w:p>
    <w:p>
      <w:pPr>
        <w:pStyle w:val="Compact"/>
        <w:numPr>
          <w:ilvl w:val="0"/>
          <w:numId w:val="1009"/>
        </w:numPr>
      </w:pPr>
      <w:r>
        <w:rPr>
          <w:b/>
          <w:bCs/>
        </w:rPr>
        <w:t xml:space="preserve">Falsifiers</w:t>
      </w:r>
      <w:r>
        <w:t xml:space="preserve">: Starlink subscriber growth decelerating for 2+ quarters; Starship flight-rate targets missed; FCF stays </w:t>
      </w:r>
      <w:r>
        <w:rPr>
          <w:rFonts w:hint="eastAsia"/>
        </w:rPr>
        <w:t xml:space="preserve">negative｜Starlink用户增速连续两季放缓；星舰发射次数不达标；FCF持续为负</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Space/Satellite broadband </w:t>
      </w:r>
      <w:r>
        <w:rPr>
          <w:rFonts w:hint="eastAsia"/>
        </w:rPr>
        <w:t xml:space="preserve">航天/卫星宽带</w:t>
      </w:r>
      <w:r>
        <w:t xml:space="preserve"> | Segments: Starlink </w:t>
      </w:r>
      <w:r>
        <w:rPr>
          <w:rFonts w:hint="eastAsia"/>
        </w:rPr>
        <w:t xml:space="preserve">卫星宽带;</w:t>
      </w:r>
      <w:r>
        <w:t xml:space="preserve"> Launch </w:t>
      </w:r>
      <w:r>
        <w:rPr>
          <w:rFonts w:hint="eastAsia"/>
        </w:rPr>
        <w:t xml:space="preserve">发射服务;</w:t>
      </w:r>
      <w:r>
        <w:t xml:space="preserve"> Government/Defense </w:t>
      </w:r>
      <w:r>
        <w:rPr>
          <w:rFonts w:hint="eastAsia"/>
        </w:rPr>
        <w:t xml:space="preserve">政府国防;</w:t>
      </w:r>
      <w:r>
        <w:t xml:space="preserve"> Other bets </w:t>
      </w:r>
      <w:r>
        <w:rPr>
          <w:rFonts w:hint="eastAsia"/>
        </w:rPr>
        <w:t xml:space="preserve">其他(AI/Starship等)</w:t>
      </w:r>
    </w:p>
    <w:p>
      <w:pPr>
        <w:pStyle w:val="Compact"/>
        <w:numPr>
          <w:ilvl w:val="0"/>
          <w:numId w:val="1010"/>
        </w:numPr>
      </w:pPr>
      <w:r>
        <w:t xml:space="preserve">Business description (DATA): Space Exploration Technologies Corp. provides satellite-based broadband services in the United States, Ireland, Canada, and internationally. It operates through three operating segments: Space, Connectivity, and AI. The Space segment designs, manufactures, and launches reusable rockets to provide access to space. It also provides launch services for the deployment of payloads to intended orbits for commercial and government customers utilizing Falcon 9 and Falcon Heavy; and engages in the launch and development for the development of spacecraft and the provision of launch and mission services for government agency space programs utilizing Falcon 9, Falcon Heavy, Starship, and Dragon. Its company’s Connectivity segment operates broadband data and communications network by various Starlink satellites in low-earth orbit, delivering connectivity to various consumers, enterprise, and governme</w:t>
      </w:r>
    </w:p>
    <w:p>
      <w:pPr>
        <w:pStyle w:val="Compact"/>
        <w:numPr>
          <w:ilvl w:val="0"/>
          <w:numId w:val="1010"/>
        </w:numPr>
      </w:pPr>
      <w:r>
        <w:t xml:space="preserve">Customers: Consumers &amp; enterprises (Starlink), NASA/DoD/NRO, commercial satellite </w:t>
      </w:r>
      <w:r>
        <w:rPr>
          <w:rFonts w:hint="eastAsia"/>
        </w:rPr>
        <w:t xml:space="preserve">operators｜消费者与企业、NASA/美国国防部、商业卫星运营商</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In-house vertical integration; RF components, solar cells, chips (merchant </w:t>
      </w:r>
      <w:r>
        <w:rPr>
          <w:rFonts w:hint="eastAsia"/>
        </w:rPr>
        <w:t xml:space="preserve">semis)｜高度垂直整合；射频器件、太阳能电池、商用芯片</w:t>
      </w:r>
    </w:p>
    <w:p>
      <w:pPr>
        <w:pStyle w:val="Compact"/>
        <w:numPr>
          <w:ilvl w:val="0"/>
          <w:numId w:val="1011"/>
        </w:numPr>
      </w:pPr>
      <w:r>
        <w:t xml:space="preserve">Competitors: Amazon Kuiper, OneWeb/Eutelsat, ULA, Blue Origin, Rocket Lab, China state </w:t>
      </w:r>
      <w:r>
        <w:rPr>
          <w:rFonts w:hint="eastAsia"/>
        </w:rPr>
        <w:t xml:space="preserve">launch｜亚马逊Kuiper、OneWeb、ULA、Blue</w:t>
      </w:r>
      <w:r>
        <w:t xml:space="preserve"> Origin、Rocket </w:t>
      </w:r>
      <w:r>
        <w:rPr>
          <w:rFonts w:hint="eastAsia"/>
        </w:rPr>
        <w:t xml:space="preserve">Lab、中国国家队</w:t>
      </w:r>
    </w:p>
    <w:p>
      <w:pPr>
        <w:pStyle w:val="Compact"/>
        <w:numPr>
          <w:ilvl w:val="0"/>
          <w:numId w:val="1011"/>
        </w:numPr>
      </w:pPr>
      <w:r>
        <w:t xml:space="preserve">Bottlenecks/regulation: Starship cadence, spectrum rights, user-terminal cost, launch-site permits </w:t>
      </w:r>
      <w:r>
        <w:rPr>
          <w:rFonts w:hint="eastAsia"/>
        </w:rPr>
        <w:t xml:space="preserve">(FAA)｜星舰发射节奏、频谱、终端成本、FAA许可</w:t>
      </w:r>
    </w:p>
    <w:p>
      <w:pPr>
        <w:pStyle w:val="Compact"/>
        <w:numPr>
          <w:ilvl w:val="0"/>
          <w:numId w:val="1011"/>
        </w:numPr>
      </w:pPr>
      <w:r>
        <w:t xml:space="preserve">KPIs: Starlink subscribers, ARPU, launches/yr, Starship flights, </w:t>
      </w:r>
      <w:r>
        <w:rPr>
          <w:rFonts w:hint="eastAsia"/>
        </w:rPr>
        <w:t xml:space="preserve">backlog｜订阅数、ARPU、年发射数、星舰飞行数、在手订单</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7.8 bn USD</w:t>
            </w:r>
          </w:p>
        </w:tc>
        <w:tc>
          <w:tcPr/>
          <w:p>
            <w:pPr>
              <w:pStyle w:val="Compact"/>
            </w:pPr>
            <w:r>
              <w:t xml:space="preserve">4.3 bn USD</w:t>
            </w:r>
          </w:p>
        </w:tc>
        <w:tc>
          <w:tcPr/>
          <w:p>
            <w:pPr>
              <w:pStyle w:val="Compact"/>
            </w:pPr>
            <w:r>
              <w:t xml:space="preserve">-0.1 bn USD</w:t>
            </w:r>
          </w:p>
        </w:tc>
        <w:tc>
          <w:tcPr/>
          <w:p>
            <w:pPr>
              <w:pStyle w:val="Compact"/>
            </w:pPr>
            <w:r>
              <w:t xml:space="preserve">-0.5 bn USD</w:t>
            </w:r>
          </w:p>
        </w:tc>
        <w:tc>
          <w:tcPr/>
          <w:p>
            <w:pPr>
              <w:pStyle w:val="Compact"/>
            </w:pPr>
            <w:r>
              <w:t xml:space="preserve">-16.8 bn USD</w:t>
            </w:r>
          </w:p>
        </w:tc>
        <w:tc>
          <w:tcPr/>
          <w:p>
            <w:pPr>
              <w:pStyle w:val="Compact"/>
            </w:pPr>
            <w:r>
              <w:t xml:space="preserve">-1.8%</w:t>
            </w:r>
          </w:p>
        </w:tc>
      </w:tr>
      <w:tr>
        <w:tc>
          <w:tcPr/>
          <w:p>
            <w:pPr>
              <w:pStyle w:val="Compact"/>
            </w:pPr>
            <w:r>
              <w:t xml:space="preserve">2026-03-31</w:t>
            </w:r>
          </w:p>
        </w:tc>
        <w:tc>
          <w:tcPr/>
          <w:p>
            <w:pPr>
              <w:pStyle w:val="Compact"/>
            </w:pPr>
            <w:r>
              <w:t xml:space="preserve">4.7 bn USD</w:t>
            </w:r>
          </w:p>
        </w:tc>
        <w:tc>
          <w:tcPr/>
          <w:p>
            <w:pPr>
              <w:pStyle w:val="Compact"/>
            </w:pPr>
            <w:r>
              <w:t xml:space="preserve">2.3 bn USD</w:t>
            </w:r>
          </w:p>
        </w:tc>
        <w:tc>
          <w:tcPr/>
          <w:p>
            <w:pPr>
              <w:pStyle w:val="Compact"/>
            </w:pPr>
            <w:r>
              <w:t xml:space="preserve">-2.0 bn USD</w:t>
            </w:r>
          </w:p>
        </w:tc>
        <w:tc>
          <w:tcPr/>
          <w:p>
            <w:pPr>
              <w:pStyle w:val="Compact"/>
            </w:pPr>
            <w:r>
              <w:t xml:space="preserve">-4.3 bn USD</w:t>
            </w:r>
          </w:p>
        </w:tc>
        <w:tc>
          <w:tcPr/>
          <w:p>
            <w:pPr>
              <w:pStyle w:val="Compact"/>
            </w:pPr>
            <w:r>
              <w:t xml:space="preserve">-9.1 bn USD</w:t>
            </w:r>
          </w:p>
        </w:tc>
        <w:tc>
          <w:tcPr/>
          <w:p>
            <w:pPr>
              <w:pStyle w:val="Compact"/>
            </w:pPr>
            <w:r>
              <w:t xml:space="preserve">-41.6%</w:t>
            </w:r>
          </w:p>
        </w:tc>
      </w:tr>
      <w:tr>
        <w:tc>
          <w:tcPr/>
          <w:p>
            <w:pPr>
              <w:pStyle w:val="Compact"/>
            </w:pPr>
            <w:r>
              <w:t xml:space="preserve">2025-06-30</w:t>
            </w:r>
          </w:p>
        </w:tc>
        <w:tc>
          <w:tcPr/>
          <w:p>
            <w:pPr>
              <w:pStyle w:val="Compact"/>
            </w:pPr>
            <w:r>
              <w:t xml:space="preserve">4.1 bn USD</w:t>
            </w:r>
          </w:p>
        </w:tc>
        <w:tc>
          <w:tcPr/>
          <w:p>
            <w:pPr>
              <w:pStyle w:val="Compact"/>
            </w:pPr>
            <w:r>
              <w:t xml:space="preserve">1.8 bn USD</w:t>
            </w:r>
          </w:p>
        </w:tc>
        <w:tc>
          <w:tcPr/>
          <w:p>
            <w:pPr>
              <w:pStyle w:val="Compact"/>
            </w:pPr>
            <w:r>
              <w:t xml:space="preserve">-0.8 bn USD</w:t>
            </w:r>
          </w:p>
        </w:tc>
        <w:tc>
          <w:tcPr/>
          <w:p>
            <w:pPr>
              <w:pStyle w:val="Compact"/>
            </w:pPr>
            <w:r>
              <w:t xml:space="preserve">-1.0 bn USD</w:t>
            </w:r>
          </w:p>
        </w:tc>
        <w:tc>
          <w:tcPr/>
          <w:p>
            <w:pPr>
              <w:pStyle w:val="Compact"/>
            </w:pPr>
            <w:r>
              <w:t xml:space="preserve">-3.2 bn USD</w:t>
            </w:r>
          </w:p>
        </w:tc>
        <w:tc>
          <w:tcPr/>
          <w:p>
            <w:pPr>
              <w:pStyle w:val="Compact"/>
            </w:pPr>
            <w:r>
              <w:t xml:space="preserve">-19.0%</w:t>
            </w:r>
          </w:p>
        </w:tc>
      </w:tr>
      <w:tr>
        <w:tc>
          <w:tcPr/>
          <w:p>
            <w:pPr>
              <w:pStyle w:val="Compact"/>
            </w:pPr>
            <w:r>
              <w:t xml:space="preserve">2025-03-31</w:t>
            </w:r>
          </w:p>
        </w:tc>
        <w:tc>
          <w:tcPr/>
          <w:p>
            <w:pPr>
              <w:pStyle w:val="Compact"/>
            </w:pPr>
            <w:r>
              <w:t xml:space="preserve">4.1 bn USD</w:t>
            </w:r>
          </w:p>
        </w:tc>
        <w:tc>
          <w:tcPr/>
          <w:p>
            <w:pPr>
              <w:pStyle w:val="Compact"/>
            </w:pPr>
            <w:r>
              <w:t xml:space="preserve">2.1 bn USD</w:t>
            </w:r>
          </w:p>
        </w:tc>
        <w:tc>
          <w:tcPr/>
          <w:p>
            <w:pPr>
              <w:pStyle w:val="Compact"/>
            </w:pPr>
            <w:r>
              <w:t xml:space="preserve">55.0 mn USD</w:t>
            </w:r>
          </w:p>
        </w:tc>
        <w:tc>
          <w:tcPr/>
          <w:p>
            <w:pPr>
              <w:pStyle w:val="Compact"/>
            </w:pPr>
            <w:r>
              <w:t xml:space="preserve">-0.5 bn USD</w:t>
            </w:r>
          </w:p>
        </w:tc>
        <w:tc>
          <w:tcPr/>
          <w:p>
            <w:pPr>
              <w:pStyle w:val="Compact"/>
            </w:pPr>
            <w:r>
              <w:t xml:space="preserve">-3.4 bn USD</w:t>
            </w:r>
          </w:p>
        </w:tc>
        <w:tc>
          <w:tcPr/>
          <w:p>
            <w:pPr>
              <w:pStyle w:val="Compact"/>
            </w:pPr>
            <w:r>
              <w:t xml:space="preserve">1.4%</w:t>
            </w:r>
          </w:p>
        </w:tc>
      </w:tr>
    </w:tbl>
    <w:p>
      <w:pPr>
        <w:pStyle w:val="BodyText"/>
      </w:pPr>
      <w:r>
        <w:t xml:space="preserve">Cash 100.0 bn USD; debt 39.7 bn USD; TTM FCF -32.5 bn USD (FCF margin -50.0%).</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2026-03-31</w:t>
            </w:r>
          </w:p>
        </w:tc>
        <w:tc>
          <w:tcPr/>
          <w:p>
            <w:pPr>
              <w:pStyle w:val="Compact"/>
            </w:pPr>
            <w:r>
              <w:t xml:space="preserve">-1.27</w:t>
            </w:r>
          </w:p>
        </w:tc>
        <w:tc>
          <w:tcPr/>
          <w:p>
            <w:pPr>
              <w:pStyle w:val="Compact"/>
            </w:pPr>
          </w:p>
        </w:tc>
        <w:tc>
          <w:tcPr/>
          <w:p>
            <w:pPr>
              <w:pStyle w:val="Compact"/>
            </w:pPr>
          </w:p>
        </w:tc>
      </w:tr>
      <w:tr>
        <w:tc>
          <w:tcPr/>
          <w:p>
            <w:pPr>
              <w:pStyle w:val="Compact"/>
            </w:pPr>
            <w:r>
              <w:t xml:space="preserve">2026-06-30</w:t>
            </w:r>
          </w:p>
        </w:tc>
        <w:tc>
          <w:tcPr/>
          <w:p>
            <w:pPr>
              <w:pStyle w:val="Compact"/>
            </w:pPr>
            <w:r>
              <w:t xml:space="preserve">-0.09</w:t>
            </w:r>
          </w:p>
        </w:tc>
        <w:tc>
          <w:tcPr/>
          <w:p>
            <w:pPr>
              <w:pStyle w:val="Compact"/>
            </w:pPr>
            <w:r>
              <w:t xml:space="preserve">-0.28931</w:t>
            </w:r>
          </w:p>
        </w:tc>
        <w:tc>
          <w:tcPr/>
          <w:p>
            <w:pPr>
              <w:pStyle w:val="Compact"/>
            </w:pPr>
            <w:r>
              <w:t xml:space="preserve">0.6889</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2026-11-04</w:t>
      </w:r>
      <w:r>
        <w:t xml:space="preserve">; current-quarter EPS consensus 0.16749 (16 analysts); revenue consensus 13.0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$-8.85</w:t>
            </w:r>
          </w:p>
        </w:tc>
        <w:tc>
          <w:tcPr/>
          <w:p>
            <w:pPr>
              <w:pStyle w:val="Compact"/>
            </w:pPr>
            <w:r>
              <w:t xml:space="preserve">-105.4%</w:t>
            </w:r>
          </w:p>
        </w:tc>
      </w:tr>
      <w:tr>
        <w:tc>
          <w:tcPr/>
          <w:p>
            <w:pPr>
              <w:pStyle w:val="Compact"/>
            </w:pPr>
            <w:r>
              <w:t xml:space="preserve">2Q</w:t>
            </w:r>
          </w:p>
        </w:tc>
        <w:tc>
          <w:tcPr/>
          <w:p>
            <w:pPr>
              <w:pStyle w:val="Compact"/>
            </w:pPr>
            <w:r>
              <w:t xml:space="preserve">Base</w:t>
            </w:r>
          </w:p>
        </w:tc>
        <w:tc>
          <w:tcPr/>
          <w:p>
            <w:pPr>
              <w:pStyle w:val="Compact"/>
            </w:pPr>
            <w:r>
              <w:t xml:space="preserve">$-27.83</w:t>
            </w:r>
          </w:p>
        </w:tc>
        <w:tc>
          <w:tcPr/>
          <w:p>
            <w:pPr>
              <w:pStyle w:val="Compact"/>
            </w:pPr>
            <w:r>
              <w:t xml:space="preserve">-117.0%</w:t>
            </w:r>
          </w:p>
        </w:tc>
      </w:tr>
      <w:tr>
        <w:tc>
          <w:tcPr/>
          <w:p>
            <w:pPr>
              <w:pStyle w:val="Compact"/>
            </w:pPr>
            <w:r>
              <w:t xml:space="preserve">2Q</w:t>
            </w:r>
          </w:p>
        </w:tc>
        <w:tc>
          <w:tcPr/>
          <w:p>
            <w:pPr>
              <w:pStyle w:val="Compact"/>
            </w:pPr>
            <w:r>
              <w:t xml:space="preserve">Bull</w:t>
            </w:r>
          </w:p>
        </w:tc>
        <w:tc>
          <w:tcPr/>
          <w:p>
            <w:pPr>
              <w:pStyle w:val="Compact"/>
            </w:pPr>
            <w:r>
              <w:t xml:space="preserve">$-49.04</w:t>
            </w:r>
          </w:p>
        </w:tc>
        <w:tc>
          <w:tcPr/>
          <w:p>
            <w:pPr>
              <w:pStyle w:val="Compact"/>
            </w:pPr>
            <w:r>
              <w:t xml:space="preserve">-130.0%</w:t>
            </w:r>
          </w:p>
        </w:tc>
      </w:tr>
      <w:tr>
        <w:tc>
          <w:tcPr/>
          <w:p>
            <w:pPr>
              <w:pStyle w:val="Compact"/>
            </w:pPr>
            <w:r>
              <w:t xml:space="preserve">4Q</w:t>
            </w:r>
          </w:p>
        </w:tc>
        <w:tc>
          <w:tcPr/>
          <w:p>
            <w:pPr>
              <w:pStyle w:val="Compact"/>
            </w:pPr>
            <w:r>
              <w:t xml:space="preserve">Bear</w:t>
            </w:r>
          </w:p>
        </w:tc>
        <w:tc>
          <w:tcPr/>
          <w:p>
            <w:pPr>
              <w:pStyle w:val="Compact"/>
            </w:pPr>
            <w:r>
              <w:t xml:space="preserve">$-7.46</w:t>
            </w:r>
          </w:p>
        </w:tc>
        <w:tc>
          <w:tcPr/>
          <w:p>
            <w:pPr>
              <w:pStyle w:val="Compact"/>
            </w:pPr>
            <w:r>
              <w:t xml:space="preserve">-104.6%</w:t>
            </w:r>
          </w:p>
        </w:tc>
      </w:tr>
      <w:tr>
        <w:tc>
          <w:tcPr/>
          <w:p>
            <w:pPr>
              <w:pStyle w:val="Compact"/>
            </w:pPr>
            <w:r>
              <w:t xml:space="preserve">4Q</w:t>
            </w:r>
          </w:p>
        </w:tc>
        <w:tc>
          <w:tcPr/>
          <w:p>
            <w:pPr>
              <w:pStyle w:val="Compact"/>
            </w:pPr>
            <w:r>
              <w:t xml:space="preserve">Base</w:t>
            </w:r>
          </w:p>
        </w:tc>
        <w:tc>
          <w:tcPr/>
          <w:p>
            <w:pPr>
              <w:pStyle w:val="Compact"/>
            </w:pPr>
            <w:r>
              <w:t xml:space="preserve">$-27.20</w:t>
            </w:r>
          </w:p>
        </w:tc>
        <w:tc>
          <w:tcPr/>
          <w:p>
            <w:pPr>
              <w:pStyle w:val="Compact"/>
            </w:pPr>
            <w:r>
              <w:t xml:space="preserve">-116.6%</w:t>
            </w:r>
          </w:p>
        </w:tc>
      </w:tr>
      <w:tr>
        <w:tc>
          <w:tcPr/>
          <w:p>
            <w:pPr>
              <w:pStyle w:val="Compact"/>
            </w:pPr>
            <w:r>
              <w:t xml:space="preserve">4Q</w:t>
            </w:r>
          </w:p>
        </w:tc>
        <w:tc>
          <w:tcPr/>
          <w:p>
            <w:pPr>
              <w:pStyle w:val="Compact"/>
            </w:pPr>
            <w:r>
              <w:t xml:space="preserve">Bull</w:t>
            </w:r>
          </w:p>
        </w:tc>
        <w:tc>
          <w:tcPr/>
          <w:p>
            <w:pPr>
              <w:pStyle w:val="Compact"/>
            </w:pPr>
            <w:r>
              <w:t xml:space="preserve">$-49.73</w:t>
            </w:r>
          </w:p>
        </w:tc>
        <w:tc>
          <w:tcPr/>
          <w:p>
            <w:pPr>
              <w:pStyle w:val="Compact"/>
            </w:pPr>
            <w:r>
              <w:t xml:space="preserve">-130.4%</w:t>
            </w:r>
          </w:p>
        </w:tc>
      </w:tr>
      <w:tr>
        <w:tc>
          <w:tcPr/>
          <w:p>
            <w:pPr>
              <w:pStyle w:val="Compact"/>
            </w:pPr>
            <w:r>
              <w:t xml:space="preserve">6Q</w:t>
            </w:r>
          </w:p>
        </w:tc>
        <w:tc>
          <w:tcPr/>
          <w:p>
            <w:pPr>
              <w:pStyle w:val="Compact"/>
            </w:pPr>
            <w:r>
              <w:t xml:space="preserve">Bear</w:t>
            </w:r>
          </w:p>
        </w:tc>
        <w:tc>
          <w:tcPr/>
          <w:p>
            <w:pPr>
              <w:pStyle w:val="Compact"/>
            </w:pPr>
            <w:r>
              <w:t xml:space="preserve">$-5.23</w:t>
            </w:r>
          </w:p>
        </w:tc>
        <w:tc>
          <w:tcPr/>
          <w:p>
            <w:pPr>
              <w:pStyle w:val="Compact"/>
            </w:pPr>
            <w:r>
              <w:t xml:space="preserve">-103.2%</w:t>
            </w:r>
          </w:p>
        </w:tc>
      </w:tr>
      <w:tr>
        <w:tc>
          <w:tcPr/>
          <w:p>
            <w:pPr>
              <w:pStyle w:val="Compact"/>
            </w:pPr>
            <w:r>
              <w:t xml:space="preserve">6Q</w:t>
            </w:r>
          </w:p>
        </w:tc>
        <w:tc>
          <w:tcPr/>
          <w:p>
            <w:pPr>
              <w:pStyle w:val="Compact"/>
            </w:pPr>
            <w:r>
              <w:t xml:space="preserve">Base</w:t>
            </w:r>
          </w:p>
        </w:tc>
        <w:tc>
          <w:tcPr/>
          <w:p>
            <w:pPr>
              <w:pStyle w:val="Compact"/>
            </w:pPr>
            <w:r>
              <w:t xml:space="preserve">$-22.30</w:t>
            </w:r>
          </w:p>
        </w:tc>
        <w:tc>
          <w:tcPr/>
          <w:p>
            <w:pPr>
              <w:pStyle w:val="Compact"/>
            </w:pPr>
            <w:r>
              <w:t xml:space="preserve">-113.6%</w:t>
            </w:r>
          </w:p>
        </w:tc>
      </w:tr>
      <w:tr>
        <w:tc>
          <w:tcPr/>
          <w:p>
            <w:pPr>
              <w:pStyle w:val="Compact"/>
            </w:pPr>
            <w:r>
              <w:t xml:space="preserve">6Q</w:t>
            </w:r>
          </w:p>
        </w:tc>
        <w:tc>
          <w:tcPr/>
          <w:p>
            <w:pPr>
              <w:pStyle w:val="Compact"/>
            </w:pPr>
            <w:r>
              <w:t xml:space="preserve">Bull</w:t>
            </w:r>
          </w:p>
        </w:tc>
        <w:tc>
          <w:tcPr/>
          <w:p>
            <w:pPr>
              <w:pStyle w:val="Compact"/>
            </w:pPr>
            <w:r>
              <w:t xml:space="preserve">$-40.57</w:t>
            </w:r>
          </w:p>
        </w:tc>
        <w:tc>
          <w:tcPr/>
          <w:p>
            <w:pPr>
              <w:pStyle w:val="Compact"/>
            </w:pPr>
            <w:r>
              <w:t xml:space="preserve">-124.8%</w:t>
            </w:r>
          </w:p>
        </w:tc>
      </w:tr>
      <w:tr>
        <w:tc>
          <w:tcPr/>
          <w:p>
            <w:pPr>
              <w:pStyle w:val="Compact"/>
            </w:pPr>
            <w:r>
              <w:t xml:space="preserve">8Q</w:t>
            </w:r>
          </w:p>
        </w:tc>
        <w:tc>
          <w:tcPr/>
          <w:p>
            <w:pPr>
              <w:pStyle w:val="Compact"/>
            </w:pPr>
            <w:r>
              <w:t xml:space="preserve">Bear</w:t>
            </w:r>
          </w:p>
        </w:tc>
        <w:tc>
          <w:tcPr/>
          <w:p>
            <w:pPr>
              <w:pStyle w:val="Compact"/>
            </w:pPr>
            <w:r>
              <w:t xml:space="preserve">$-1.97</w:t>
            </w:r>
          </w:p>
        </w:tc>
        <w:tc>
          <w:tcPr/>
          <w:p>
            <w:pPr>
              <w:pStyle w:val="Compact"/>
            </w:pPr>
            <w:r>
              <w:t xml:space="preserve">-101.2%</w:t>
            </w:r>
          </w:p>
        </w:tc>
      </w:tr>
      <w:tr>
        <w:tc>
          <w:tcPr/>
          <w:p>
            <w:pPr>
              <w:pStyle w:val="Compact"/>
            </w:pPr>
            <w:r>
              <w:t xml:space="preserve">8Q</w:t>
            </w:r>
          </w:p>
        </w:tc>
        <w:tc>
          <w:tcPr/>
          <w:p>
            <w:pPr>
              <w:pStyle w:val="Compact"/>
            </w:pPr>
            <w:r>
              <w:t xml:space="preserve">Base</w:t>
            </w:r>
          </w:p>
        </w:tc>
        <w:tc>
          <w:tcPr/>
          <w:p>
            <w:pPr>
              <w:pStyle w:val="Compact"/>
            </w:pPr>
            <w:r>
              <w:t xml:space="preserve">$-10.34</w:t>
            </w:r>
          </w:p>
        </w:tc>
        <w:tc>
          <w:tcPr/>
          <w:p>
            <w:pPr>
              <w:pStyle w:val="Compact"/>
            </w:pPr>
            <w:r>
              <w:t xml:space="preserve">-106.3%</w:t>
            </w:r>
          </w:p>
        </w:tc>
      </w:tr>
      <w:tr>
        <w:tc>
          <w:tcPr/>
          <w:p>
            <w:pPr>
              <w:pStyle w:val="Compact"/>
            </w:pPr>
            <w:r>
              <w:t xml:space="preserve">8Q</w:t>
            </w:r>
          </w:p>
        </w:tc>
        <w:tc>
          <w:tcPr/>
          <w:p>
            <w:pPr>
              <w:pStyle w:val="Compact"/>
            </w:pPr>
            <w:r>
              <w:t xml:space="preserve">Bull</w:t>
            </w:r>
          </w:p>
        </w:tc>
        <w:tc>
          <w:tcPr/>
          <w:p>
            <w:pPr>
              <w:pStyle w:val="Compact"/>
            </w:pPr>
            <w:r>
              <w:t xml:space="preserve">$-12.85</w:t>
            </w:r>
          </w:p>
        </w:tc>
        <w:tc>
          <w:tcPr/>
          <w:p>
            <w:pPr>
              <w:pStyle w:val="Compact"/>
            </w:pPr>
            <w:r>
              <w:t xml:space="preserve">-107.9%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50.0%</w:t>
            </w:r>
          </w:p>
        </w:tc>
        <w:tc>
          <w:tcPr/>
          <w:p>
            <w:pPr>
              <w:pStyle w:val="Compact"/>
            </w:pPr>
            <w:r>
              <w:t xml:space="preserve">20.0%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$19.72</w:t>
            </w:r>
          </w:p>
        </w:tc>
        <w:tc>
          <w:tcPr/>
          <w:p>
            <w:pPr>
              <w:pStyle w:val="Compact"/>
            </w:pPr>
            <w:r>
              <w:t xml:space="preserve">-87.9%</w:t>
            </w:r>
          </w:p>
        </w:tc>
      </w:tr>
      <w:tr>
        <w:tc>
          <w:tcPr/>
          <w:p>
            <w:pPr>
              <w:pStyle w:val="Compact"/>
            </w:pPr>
            <w:r>
              <w:t xml:space="preserve">Base</w:t>
            </w:r>
          </w:p>
        </w:tc>
        <w:tc>
          <w:tcPr/>
          <w:p>
            <w:pPr>
              <w:pStyle w:val="Compact"/>
            </w:pPr>
            <w:r>
              <w:t xml:space="preserve">100.0%</w:t>
            </w:r>
          </w:p>
        </w:tc>
        <w:tc>
          <w:tcPr/>
          <w:p>
            <w:pPr>
              <w:pStyle w:val="Compact"/>
            </w:pPr>
            <w:r>
              <w:t xml:space="preserve">25.0%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$131.31</w:t>
            </w:r>
          </w:p>
        </w:tc>
        <w:tc>
          <w:tcPr/>
          <w:p>
            <w:pPr>
              <w:pStyle w:val="Compact"/>
            </w:pPr>
            <w:r>
              <w:t xml:space="preserve">-19.6%</w:t>
            </w:r>
          </w:p>
        </w:tc>
      </w:tr>
      <w:tr>
        <w:tc>
          <w:tcPr/>
          <w:p>
            <w:pPr>
              <w:pStyle w:val="Compact"/>
            </w:pPr>
            <w:r>
              <w:t xml:space="preserve">Bull</w:t>
            </w:r>
          </w:p>
        </w:tc>
        <w:tc>
          <w:tcPr/>
          <w:p>
            <w:pPr>
              <w:pStyle w:val="Compact"/>
            </w:pPr>
            <w:r>
              <w:t xml:space="preserve">130.0%</w:t>
            </w:r>
          </w:p>
        </w:tc>
        <w:tc>
          <w:tcPr/>
          <w:p>
            <w:pPr>
              <w:pStyle w:val="Compact"/>
            </w:pPr>
            <w:r>
              <w:t xml:space="preserve">28.7%</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$395.33</w:t>
            </w:r>
          </w:p>
        </w:tc>
        <w:tc>
          <w:tcPr/>
          <w:p>
            <w:pPr>
              <w:pStyle w:val="Compact"/>
            </w:pPr>
            <w:r>
              <w:t xml:space="preserve">141.9%</w:t>
            </w:r>
          </w:p>
        </w:tc>
      </w:tr>
    </w:tbl>
    <w:p>
      <w:pPr>
        <w:pStyle w:val="BodyText"/>
      </w:pPr>
      <w:r>
        <w:t xml:space="preserve">Probability-weighted value</w:t>
      </w:r>
      <w:r>
        <w:t xml:space="preserve"> </w:t>
      </w:r>
      <w:r>
        <w:rPr>
          <w:b/>
          <w:bCs/>
        </w:rPr>
        <w:t xml:space="preserve">$169.42</w:t>
      </w:r>
      <w:r>
        <w:t xml:space="preserve"> </w:t>
      </w:r>
      <w:r>
        <w:t xml:space="preserve">(3.7%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1,670.6 bn USD; terminal share 68.9%.</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107.8%</w:t>
      </w:r>
      <w:r>
        <w:t xml:space="preserve"> </w:t>
      </w:r>
      <w:r>
        <w:t xml:space="preserve">vs consensus FY+1 100.0%.</w:t>
      </w:r>
    </w:p>
    <w:p>
      <w:pPr>
        <w:pStyle w:val="Compact"/>
        <w:numPr>
          <w:ilvl w:val="0"/>
          <w:numId w:val="1013"/>
        </w:numPr>
      </w:pPr>
      <w:r>
        <w:t xml:space="preserve">WACC (CAPM) = rf 5.2% + β 1.30 × ERP 5.0% = 11.7%.</w:t>
      </w:r>
    </w:p>
    <w:p>
      <w:pPr>
        <w:pStyle w:val="Compact"/>
        <w:numPr>
          <w:ilvl w:val="0"/>
          <w:numId w:val="1013"/>
        </w:numPr>
      </w:pPr>
      <w:r>
        <w:t xml:space="preserve">SOTP segments: Starlink </w:t>
      </w:r>
      <w:r>
        <w:rPr>
          <w:rFonts w:hint="eastAsia"/>
        </w:rPr>
        <w:t xml:space="preserve">卫星宽带;</w:t>
      </w:r>
      <w:r>
        <w:t xml:space="preserve"> Launch </w:t>
      </w:r>
      <w:r>
        <w:rPr>
          <w:rFonts w:hint="eastAsia"/>
        </w:rPr>
        <w:t xml:space="preserve">发射服务;</w:t>
      </w:r>
      <w:r>
        <w:t xml:space="preserve"> Government/Defense </w:t>
      </w:r>
      <w:r>
        <w:rPr>
          <w:rFonts w:hint="eastAsia"/>
        </w:rPr>
        <w:t xml:space="preserve">政府国防;</w:t>
      </w:r>
      <w:r>
        <w:t xml:space="preserve"> Other bets </w:t>
      </w:r>
      <w:r>
        <w:rPr>
          <w:rFonts w:hint="eastAsia"/>
        </w:rPr>
        <w:t xml:space="preserve">其他(AI/Starship等)</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IPO-lockup supply, Starship delays, regulatory/spectrum pushback, governance </w:t>
      </w:r>
      <w:r>
        <w:rPr>
          <w:rFonts w:hint="eastAsia"/>
        </w:rPr>
        <w:t xml:space="preserve">concentration｜解禁抛压、星舰延误、监管/频谱、治理集中</w:t>
      </w:r>
      <w:r>
        <w:t xml:space="preserve"> | Falsifiers: Starlink subscriber growth decelerating for 2+ quarters; Starship flight-rate targets missed; FCF stays </w:t>
      </w:r>
      <w:r>
        <w:rPr>
          <w:rFonts w:hint="eastAsia"/>
        </w:rPr>
        <w:t xml:space="preserve">negative｜Starlink用户增速连续两季放缓；星舰发射次数不达标；FCF持续为负</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SPCX_model_v20261013-1812.xlsx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data/snapshots/20261013-1812</w:t>
      </w:r>
      <w:r>
        <w:t xml:space="preserve"> </w:t>
      </w:r>
      <w:r>
        <w:t xml:space="preserve">(immutable) | Fetched 2026-10-13 18:12 SGT | Generated 2026-10-13 18:12 SGT</w:t>
      </w:r>
      <w:r>
        <w:t xml:space="preserve"> </w:t>
      </w:r>
      <w:r>
        <w:t xml:space="preserve">- Version: v20261013-1812.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2026-10-13T10:12:54Z</dcterms:created>
  <dcterms:modified xsi:type="dcterms:W3CDTF">2026-10-13T10:12:54Z</dcterms:modified>
</cp:coreProperties>
</file>

<file path=docProps/custom.xml><?xml version="1.0" encoding="utf-8"?>
<Properties xmlns="http://schemas.openxmlformats.org/officeDocument/2006/custom-properties" xmlns:vt="http://schemas.openxmlformats.org/officeDocument/2006/docPropsVTypes"/>
</file>