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d5978d347d261d49580a9faa231247a587c0f0"/>
    <w:p>
      <w:pPr>
        <w:pStyle w:val="Heading1"/>
      </w:pPr>
      <w:r>
        <w:t xml:space="preserve">SPCX Space Exploration Technologies Corp.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Space Exploration Technologies Corp.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$156.54；距</w:t>
      </w:r>
      <w:r>
        <w:t xml:space="preserve"> 2026-06-16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-22.7%。主题：Space/Satellite</w:t>
      </w:r>
      <w:r>
        <w:t xml:space="preserve"> broadband </w:t>
      </w:r>
      <w:r>
        <w:rPr>
          <w:rFonts w:hint="eastAsia"/>
        </w:rPr>
        <w:t xml:space="preserve">航天/卫星宽带。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106.4%，一致预期</w:t>
      </w:r>
      <w:r>
        <w:t xml:space="preserve"> </w:t>
      </w:r>
      <w:r>
        <w:rPr>
          <w:rFonts w:hint="eastAsia"/>
        </w:rPr>
        <w:t xml:space="preserve">100.0%；三情景价值</w:t>
      </w:r>
      <w:r>
        <w:t xml:space="preserve"> $20/$131/$394。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2026-11-04（TENTATIVE</w:t>
      </w:r>
      <w:r>
        <w:t xml:space="preserve"> </w:t>
      </w:r>
      <w:r>
        <w:rPr>
          <w:rFonts w:hint="eastAsia"/>
        </w:rPr>
        <w:t xml:space="preserve">直至公司确认）；盯：订阅数、ARPU、年发射数、星舰飞行数、在手订单。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Space/Satellite broadband </w:t>
      </w:r>
      <w:r>
        <w:rPr>
          <w:rFonts w:hint="eastAsia"/>
        </w:rPr>
        <w:t xml:space="preserve">航天/卫星宽带。持有者在乎的是：上市后的SpaceX核心价值在Starlink订阅现金流与发射垄断地位；估值高度依赖Starship降本与直连手机(D2C)等远期期权，市场定价包含大量远期增长。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106.4%，一致预期</w:t>
      </w:r>
      <w:r>
        <w:t xml:space="preserve"> </w:t>
      </w:r>
      <w:r>
        <w:rPr>
          <w:rFonts w:hint="eastAsia"/>
        </w:rPr>
        <w:t xml:space="preserve">100.0%——市场定价比分析师更乐观。P/E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N/A）→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55.3%）→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断点：Starship</w:t>
      </w:r>
      <w:r>
        <w:t xml:space="preserve"> cadence, spectrum rights, user-terminal cost, launch-site permits </w:t>
      </w:r>
      <w:r>
        <w:rPr>
          <w:rFonts w:hint="eastAsia"/>
        </w:rPr>
        <w:t xml:space="preserve">(FAA)｜星舰发射节奏、频谱、终端成本、FAA许可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折现。SPCX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11.7%；最新季度毛利率</w:t>
      </w:r>
      <w:r>
        <w:t xml:space="preserve"> </w:t>
      </w:r>
      <w:r>
        <w:rPr>
          <w:rFonts w:hint="eastAsia"/>
        </w:rPr>
        <w:t xml:space="preserve">55.3%；收入同比</w:t>
      </w:r>
      <w:r>
        <w:t xml:space="preserve"> </w:t>
      </w:r>
      <w:r>
        <w:rPr>
          <w:rFonts w:hint="eastAsia"/>
        </w:rPr>
        <w:t xml:space="preserve">N/A。新闻多数改变的是现金流预期，而非折现率。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竞争者：Amazon</w:t>
      </w:r>
      <w:r>
        <w:t xml:space="preserve"> Kuiper, OneWeb/Eutelsat, ULA, Blue Origin, Rocket Lab, China state </w:t>
      </w:r>
      <w:r>
        <w:rPr>
          <w:rFonts w:hint="eastAsia"/>
        </w:rPr>
        <w:t xml:space="preserve">launch｜亚马逊Kuiper、OneWeb、ULA、Blue</w:t>
      </w:r>
      <w:r>
        <w:t xml:space="preserve"> Origin、Rocket </w:t>
      </w:r>
      <w:r>
        <w:rPr>
          <w:rFonts w:hint="eastAsia"/>
        </w:rPr>
        <w:t xml:space="preserve">Lab、中国国家队。客户：Consumers</w:t>
      </w:r>
      <w:r>
        <w:t xml:space="preserve"> &amp; enterprises (Starlink), NASA/DoD/NRO, commercial satellite </w:t>
      </w:r>
      <w:r>
        <w:rPr>
          <w:rFonts w:hint="eastAsia"/>
        </w:rPr>
        <w:t xml:space="preserve">operators｜消费者与企业、NASA/美国国防部、商业卫星运营商。若</w:t>
      </w:r>
      <w:r>
        <w:t xml:space="preserve"> SPCX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看多会错，如果：IPO-lockup</w:t>
      </w:r>
      <w:r>
        <w:t xml:space="preserve">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106.4%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100.0%；近几季</w:t>
      </w:r>
      <w:r>
        <w:t xml:space="preserve"> EPS </w:t>
      </w:r>
      <w:r>
        <w:rPr>
          <w:rFonts w:hint="eastAsia"/>
        </w:rPr>
        <w:t xml:space="preserve">超预期：2026-06</w:t>
      </w:r>
      <w:r>
        <w:t xml:space="preserve"> +69%。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买方押：Starship</w:t>
      </w:r>
      <w:r>
        <w:t xml:space="preserve"> reusability drives cost/kg sharply lower; D2C and enterprise/airline adoption </w:t>
      </w:r>
      <w:r>
        <w:rPr>
          <w:rFonts w:hint="eastAsia"/>
        </w:rPr>
        <w:t xml:space="preserve">accelerate｜星舰复用大幅降本；D2C与航空/企业加速。卖方押：IPO-lockup</w:t>
      </w:r>
      <w:r>
        <w:t xml:space="preserve">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2026 </w:t>
      </w:r>
      <w:r>
        <w:rPr>
          <w:rFonts w:hint="eastAsia"/>
        </w:rPr>
        <w:t xml:space="preserve">年以来最大的三次回撤：历史太短；中位数</w:t>
      </w:r>
      <w:r>
        <w:t xml:space="preserve"> </w:t>
      </w:r>
      <w:r>
        <w:rPr>
          <w:rFonts w:hint="eastAsia"/>
        </w:rPr>
        <w:t xml:space="preserve">N/A。当前距高点</w:t>
      </w:r>
      <w:r>
        <w:t xml:space="preserve"> </w:t>
      </w:r>
      <w:r>
        <w:rPr>
          <w:rFonts w:hint="eastAsia"/>
        </w:rPr>
        <w:t xml:space="preserve">-22.7%。毛利率区间：41.2%–55.3%（本快照内）。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上市后的SpaceX核心价值在Starlink订阅现金流与发射垄断地位；估值高度依赖Starship降本与直连手机(D2C)等远期期权，市场定价包含大量远期增长。（HYPOTHESIS）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$156.54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$131 </w:t>
      </w:r>
      <w:r>
        <w:rPr>
          <w:rFonts w:hint="eastAsia"/>
        </w:rPr>
        <w:t xml:space="preserve">19.6%，安全边际取决于假设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</w:t>
      </w:r>
      <w:r>
        <w:rPr>
          <w:rFonts w:hint="eastAsia"/>
        </w:rPr>
        <w:t xml:space="preserve">历史太短</w:t>
      </w:r>
      <w:r>
        <w:t xml:space="preserve">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$156.54 vs Base </w:t>
            </w:r>
            <w:r>
              <w:rPr>
                <w:rFonts w:hint="eastAsia"/>
              </w:rPr>
              <w:t xml:space="preserve">价值</w:t>
            </w:r>
            <w:r>
              <w:t xml:space="preserve"> $131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106.4% vs </w:t>
            </w:r>
            <w:r>
              <w:rPr>
                <w:rFonts w:hint="eastAsia"/>
              </w:rPr>
              <w:t xml:space="preserve">一致预期</w:t>
            </w:r>
            <w:r>
              <w:t xml:space="preserve"> 100.0%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4 </w:t>
            </w:r>
            <w:r>
              <w:rPr>
                <w:rFonts w:hint="eastAsia"/>
              </w:rPr>
              <w:t xml:space="preserve">季毛利率</w:t>
            </w:r>
            <w:r>
              <w:t xml:space="preserve"> 51.8% → 55.3%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2 : </w:t>
      </w:r>
      <w:r>
        <w:rPr>
          <w:rFonts w:hint="eastAsia"/>
        </w:rPr>
        <w:t xml:space="preserve">6）。这是对现有数据的机械称重，不是买卖结论；最该做的是盯住证伪清单。（我们的判断，可能出错）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106.4%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N/A）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55.3%）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Starlink subscribers, ARPU, launches/yr, Starship flights, </w:t>
            </w:r>
            <w:r>
              <w:rPr>
                <w:rFonts w:hint="eastAsia"/>
              </w:rPr>
              <w:t xml:space="preserve">backlog｜订阅数、ARPU、年发射数、星舰飞行数、在手订单</w:t>
            </w:r>
          </w:p>
        </w:tc>
        <w:tc>
          <w:tcPr/>
          <w:p>
            <w:pPr>
              <w:pStyle w:val="Compact"/>
            </w:pPr>
            <w:r>
              <w:t xml:space="preserve">Starlink subscriber growth decelerating for 2+ quarters; Starship flight-rate targets missed; FCF stays </w:t>
            </w:r>
            <w:r>
              <w:rPr>
                <w:rFonts w:hint="eastAsia"/>
              </w:rPr>
              <w:t xml:space="preserve">negative｜Starlink用户增速连续两季放缓；星舰发射次数不达标；FCF持续为负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106.4%、共识</w:t>
      </w:r>
      <w:r>
        <w:t xml:space="preserve"> </w:t>
      </w:r>
      <w:r>
        <w:rPr>
          <w:rFonts w:hint="eastAsia"/>
        </w:rPr>
        <w:t xml:space="preserve">100.0%。如果公司下季’超预期’但只超共识不超隐含，股价可能怎样？为什么？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55.3%，区间</w:t>
      </w:r>
      <w:r>
        <w:t xml:space="preserve"> </w:t>
      </w:r>
      <w:r>
        <w:rPr>
          <w:rFonts w:hint="eastAsia"/>
        </w:rPr>
        <w:t xml:space="preserve">41.2%–55.3%。用’第一性原理’说明利润率下降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N/A，当前</w:t>
      </w:r>
      <w:r>
        <w:t xml:space="preserve"> </w:t>
      </w:r>
      <w:r>
        <w:rPr>
          <w:rFonts w:hint="eastAsia"/>
        </w:rPr>
        <w:t xml:space="preserve">-22.7%。为什么’已经跌了很多’不能单独作为买入理由？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4-财报后填写"/>
    <w:p>
      <w:pPr>
        <w:pStyle w:val="Heading2"/>
      </w:pPr>
      <w:r>
        <w:rPr>
          <w:rFonts w:hint="eastAsia"/>
        </w:rPr>
        <w:t xml:space="preserve">八、事后推理复盘（2026-11-04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SPCX thinking-first edition. Price $156.54; -22.7% from 2026-06-16 high. Reverse DCF: price implies ~106.4% Y1 growth vs consensus 100.0%. Scenario values $20/$131/$394; WACC 11.7%. Base rates: largest drawdowns since 2026: </w:t>
      </w:r>
      <w:r>
        <w:rPr>
          <w:rFonts w:hint="eastAsia"/>
        </w:rPr>
        <w:t xml:space="preserve">历史太短.</w:t>
      </w:r>
      <w:r>
        <w:t xml:space="preserve"> Evidence weighting 2:6 (bull:bear). Falsifiers: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2026-10-14T00:03:34Z</dcterms:created>
  <dcterms:modified xsi:type="dcterms:W3CDTF">2026-10-14T00:03:34Z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