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2da1fda4b9901293c91242d61e8a7bea0f02ea"/>
    <w:p>
      <w:pPr>
        <w:pStyle w:val="Heading1"/>
      </w:pPr>
      <w:r>
        <w:t xml:space="preserve">TSLA Tesla,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Tesla,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$378.03；距</w:t>
      </w:r>
      <w:r>
        <w:t xml:space="preserve"> 2025-12-16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-22.8%。主题：EV</w:t>
      </w:r>
      <w:r>
        <w:t xml:space="preserve"> / Autonomy / Robotics / Energy storage </w:t>
      </w:r>
      <w:r>
        <w:rPr>
          <w:rFonts w:hint="eastAsia"/>
        </w:rPr>
        <w:t xml:space="preserve">电动车/自动驾驶/机器人/储能。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80.9%，一致预期</w:t>
      </w:r>
      <w:r>
        <w:t xml:space="preserve"> </w:t>
      </w:r>
      <w:r>
        <w:rPr>
          <w:rFonts w:hint="eastAsia"/>
        </w:rPr>
        <w:t xml:space="preserve">13.6%；三情景价值</w:t>
      </w:r>
      <w:r>
        <w:t xml:space="preserve"> $27/$44/$62。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2026-10-22（TENTATIVE</w:t>
      </w:r>
      <w:r>
        <w:t xml:space="preserve"> </w:t>
      </w:r>
      <w:r>
        <w:rPr>
          <w:rFonts w:hint="eastAsia"/>
        </w:rPr>
        <w:t xml:space="preserve">直至公司确认）；盯：交付量、扣碳积分毛利、储能GWh、FSD里程、Robotaxi城市数。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EV / Autonomy / Robotics / Energy storage </w:t>
      </w:r>
      <w:r>
        <w:rPr>
          <w:rFonts w:hint="eastAsia"/>
        </w:rPr>
        <w:t xml:space="preserve">电动车/自动驾驶/机器人/储能。持有者在乎的是：汽车主业利润率受价格战压缩，估值主要来自Robotaxi/FSD与Optimus期权以及储能高增长；股价对自动驾驶里程碑的叙事极度敏感(反身性强)。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80.9%，一致预期</w:t>
      </w:r>
      <w:r>
        <w:t xml:space="preserve"> </w:t>
      </w:r>
      <w:r>
        <w:rPr>
          <w:rFonts w:hint="eastAsia"/>
        </w:rPr>
        <w:t xml:space="preserve">13.6%——市场定价比分析师更乐观。跑率/静态</w:t>
      </w:r>
      <w:r>
        <w:t xml:space="preserve"> P/E </w:t>
      </w:r>
      <w:r>
        <w:rPr>
          <w:rFonts w:hint="eastAsia"/>
        </w:rPr>
        <w:t xml:space="preserve">346.8×、前瞻</w:t>
      </w:r>
      <w:r>
        <w:t xml:space="preserve"> P/E </w:t>
      </w:r>
      <w:r>
        <w:rPr>
          <w:rFonts w:hint="eastAsia"/>
        </w:rPr>
        <w:t xml:space="preserve">173.2×（Yahoo）。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25.5%）→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16.8%）→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断点：Robotaxi</w:t>
      </w:r>
      <w:r>
        <w:t xml:space="preserve"> regulation (state/NHTSA), FSD safety data, cell </w:t>
      </w:r>
      <w:r>
        <w:rPr>
          <w:rFonts w:hint="eastAsia"/>
        </w:rPr>
        <w:t xml:space="preserve">supply/tariffs｜Robotaxi法规(州/NHTSA)、FSD安全数据、电芯供应与关税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折现。TSLA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16.8%；收入同比</w:t>
      </w:r>
      <w:r>
        <w:t xml:space="preserve"> </w:t>
      </w:r>
      <w:r>
        <w:rPr>
          <w:rFonts w:hint="eastAsia"/>
        </w:rPr>
        <w:t xml:space="preserve">25.5%。新闻多数改变的是现金流预期，而非折现率。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竞争者：BYD,</w:t>
      </w:r>
      <w:r>
        <w:t xml:space="preserve"> Geely, Waymo (robotaxi), Zoox, Chinese EV makers; Fluence/Sungrow in </w:t>
      </w:r>
      <w:r>
        <w:rPr>
          <w:rFonts w:hint="eastAsia"/>
        </w:rPr>
        <w:t xml:space="preserve">storage｜比亚迪、吉利、Waymo、Zoox；储能对手Fluence/阳光电源。客户：Retail</w:t>
      </w:r>
      <w:r>
        <w:t xml:space="preserve"> auto buyers, utilities/IPPs (Megapack), FSD </w:t>
      </w:r>
      <w:r>
        <w:rPr>
          <w:rFonts w:hint="eastAsia"/>
        </w:rPr>
        <w:t xml:space="preserve">subscribers｜零售购车者、电力公司(Megapack)、FSD订阅。若</w:t>
      </w:r>
      <w:r>
        <w:t xml:space="preserve"> TSLA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看多会错，如果：Auto</w:t>
      </w:r>
      <w:r>
        <w:t xml:space="preserve">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80.9%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13.6%；近几季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-11% / 2025-12 +11% / 2026-03 +17% / 2026-06 -39%。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买方押：Unsupervised</w:t>
      </w:r>
      <w:r>
        <w:t xml:space="preserve"> FSD scales across cities; Robotaxi unit economics proven; storage margins stay </w:t>
      </w:r>
      <w:r>
        <w:rPr>
          <w:rFonts w:hint="eastAsia"/>
        </w:rPr>
        <w:t xml:space="preserve">high｜无监督FSD多城扩张；Robotaxi单位经济验证；储能高毛利。卖方押：Auto</w:t>
      </w:r>
      <w:r>
        <w:t xml:space="preserve">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2010 </w:t>
      </w:r>
      <w:r>
        <w:rPr>
          <w:rFonts w:hint="eastAsia"/>
        </w:rPr>
        <w:t xml:space="preserve">年以来最大的三次回撤：2021-11→2023-01</w:t>
      </w:r>
      <w:r>
        <w:t xml:space="preserve"> </w:t>
      </w:r>
      <w:r>
        <w:rPr>
          <w:rFonts w:hint="eastAsia"/>
        </w:rPr>
        <w:t xml:space="preserve">-74%；2020-02→2020-03</w:t>
      </w:r>
      <w:r>
        <w:t xml:space="preserve"> </w:t>
      </w:r>
      <w:r>
        <w:rPr>
          <w:rFonts w:hint="eastAsia"/>
        </w:rPr>
        <w:t xml:space="preserve">-61%；2024-12→2025-04</w:t>
      </w:r>
      <w:r>
        <w:t xml:space="preserve"> </w:t>
      </w:r>
      <w:r>
        <w:rPr>
          <w:rFonts w:hint="eastAsia"/>
        </w:rPr>
        <w:t xml:space="preserve">-54%；中位数</w:t>
      </w:r>
      <w:r>
        <w:t xml:space="preserve"> </w:t>
      </w:r>
      <w:r>
        <w:rPr>
          <w:rFonts w:hint="eastAsia"/>
        </w:rPr>
        <w:t xml:space="preserve">-61%。当前距高点</w:t>
      </w:r>
      <w:r>
        <w:t xml:space="preserve"> </w:t>
      </w:r>
      <w:r>
        <w:rPr>
          <w:rFonts w:hint="eastAsia"/>
        </w:rPr>
        <w:t xml:space="preserve">-22.8%。毛利率区间：16.8%–25.6%（本快照内）。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汽车主业利润率受价格战压缩，估值主要来自Robotaxi/FSD与Optimus期权以及储能高增长；股价对自动驾驶里程碑的叙事极度敏感(反身性强)。（HYPOTHESIS）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$378.03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$44 </w:t>
      </w:r>
      <w:r>
        <w:rPr>
          <w:rFonts w:hint="eastAsia"/>
        </w:rPr>
        <w:t xml:space="preserve">755.3%，安全边际取决于假设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2021-11→2023-01 </w:t>
      </w:r>
      <w:r>
        <w:rPr>
          <w:rFonts w:hint="eastAsia"/>
        </w:rPr>
        <w:t xml:space="preserve">-74%；2020-02→2020-03</w:t>
      </w:r>
      <w:r>
        <w:t xml:space="preserve"> </w:t>
      </w:r>
      <w:r>
        <w:rPr>
          <w:rFonts w:hint="eastAsia"/>
        </w:rPr>
        <w:t xml:space="preserve">-61%；2024-12→2025-04</w:t>
      </w:r>
      <w:r>
        <w:t xml:space="preserve"> -54%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$378.03 vs Base </w:t>
            </w:r>
            <w:r>
              <w:rPr>
                <w:rFonts w:hint="eastAsia"/>
              </w:rPr>
              <w:t xml:space="preserve">价值</w:t>
            </w:r>
            <w:r>
              <w:t xml:space="preserve"> $44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80.9% vs </w:t>
            </w:r>
            <w:r>
              <w:rPr>
                <w:rFonts w:hint="eastAsia"/>
              </w:rPr>
              <w:t xml:space="preserve">一致预期</w:t>
            </w:r>
            <w:r>
              <w:t xml:space="preserve"> 13.6%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17.2% → 16.8%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+17% → -39%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+25.5%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-22.8%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-61%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2 : </w:t>
      </w:r>
      <w:r>
        <w:rPr>
          <w:rFonts w:hint="eastAsia"/>
        </w:rPr>
        <w:t xml:space="preserve">11）。这是对现有数据的机械称重，不是买卖结论；最该做的是盯住证伪清单。（我们的判断，可能出错）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80.9%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25.5%）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16.8%）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Deliveries, auto GM ex-credits, storage GWh, FSD miles, robotaxi </w:t>
            </w:r>
            <w:r>
              <w:rPr>
                <w:rFonts w:hint="eastAsia"/>
              </w:rPr>
              <w:t xml:space="preserve">cities｜交付量、扣碳积分毛利、储能GWh、FSD里程、Robotaxi城市数</w:t>
            </w:r>
          </w:p>
        </w:tc>
        <w:tc>
          <w:tcPr/>
          <w:p>
            <w:pPr>
              <w:pStyle w:val="Compact"/>
            </w:pPr>
            <w:r>
              <w:t xml:space="preserve">Robotaxi fleet/cities not expanding by guided dates; auto GM ex-credits declining; storage deployments </w:t>
            </w:r>
            <w:r>
              <w:rPr>
                <w:rFonts w:hint="eastAsia"/>
              </w:rPr>
              <w:t xml:space="preserve">flat｜Robotaxi未按期扩张；扣除碳积分汽车毛利下降；储能装机持平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80.9%、共识</w:t>
      </w:r>
      <w:r>
        <w:t xml:space="preserve"> </w:t>
      </w:r>
      <w:r>
        <w:rPr>
          <w:rFonts w:hint="eastAsia"/>
        </w:rPr>
        <w:t xml:space="preserve">13.6%。如果公司下季’超预期’但只超共识不超隐含，股价可能怎样？为什么？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16.8%，区间</w:t>
      </w:r>
      <w:r>
        <w:t xml:space="preserve"> </w:t>
      </w:r>
      <w:r>
        <w:rPr>
          <w:rFonts w:hint="eastAsia"/>
        </w:rPr>
        <w:t xml:space="preserve">16.8%–25.6%。用’第一性原理’说明利润率下降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-61%，当前</w:t>
      </w:r>
      <w:r>
        <w:t xml:space="preserve"> </w:t>
      </w:r>
      <w:r>
        <w:rPr>
          <w:rFonts w:hint="eastAsia"/>
        </w:rPr>
        <w:t xml:space="preserve">-22.8%。为什么’已经跌了很多’不能单独作为买入理由？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22-财报后填写"/>
    <w:p>
      <w:pPr>
        <w:pStyle w:val="Heading2"/>
      </w:pPr>
      <w:r>
        <w:rPr>
          <w:rFonts w:hint="eastAsia"/>
        </w:rPr>
        <w:t xml:space="preserve">八、事后推理复盘（2026-10-22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TSLA thinking-first edition. Price $378.03; -22.8% from 2025-12-16 high. Reverse DCF: price implies ~80.9% Y1 growth vs consensus 13.6%. Scenario values $27/$44/$62; WACC 13.2%. Base rates: largest drawdowns since 2010: 2021-11→2023-01 </w:t>
      </w:r>
      <w:r>
        <w:rPr>
          <w:rFonts w:hint="eastAsia"/>
        </w:rPr>
        <w:t xml:space="preserve">-74%；2020-02→2020-03</w:t>
      </w:r>
      <w:r>
        <w:t xml:space="preserve"> </w:t>
      </w:r>
      <w:r>
        <w:rPr>
          <w:rFonts w:hint="eastAsia"/>
        </w:rPr>
        <w:t xml:space="preserve">-61%；2024-12→2025-04</w:t>
      </w:r>
      <w:r>
        <w:t xml:space="preserve"> -54%. Evidence weighting 2:11 (bull:bear). Falsifiers: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2026-10-13T13:08:52Z</dcterms:created>
  <dcterms:modified xsi:type="dcterms:W3CDTF">2026-10-13T13:08:52Z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