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a39bb757a834880832a76cadd5a59fa4299ce4"/>
    <w:p>
      <w:pPr>
        <w:pStyle w:val="Heading1"/>
      </w:pPr>
      <w:r>
        <w:t xml:space="preserve">Beginner Teaching: How to Read Tomorrow Night’s US </w:t>
      </w:r>
      <w:r>
        <w:rPr>
          <w:rFonts w:hint="eastAsia"/>
        </w:rPr>
        <w:t xml:space="preserve">CPI｜初学者教学版</w:t>
      </w:r>
      <w:r>
        <w:t xml:space="preserve"> (English)</w:t>
      </w:r>
    </w:p>
    <w:p>
      <w:pPr>
        <w:pStyle w:val="BlockText"/>
      </w:pPr>
      <w:r>
        <w:t xml:space="preserve">Release:</w:t>
      </w:r>
      <w:r>
        <w:t xml:space="preserve"> </w:t>
      </w:r>
      <w:r>
        <w:rPr>
          <w:b/>
          <w:bCs/>
        </w:rPr>
        <w:t xml:space="preserve">Wed 10/14, 20:30 Singapore time</w:t>
      </w:r>
      <w:r>
        <w:t xml:space="preserve">. Snapshot 2026-10-13 18:03 SGT (v20261013-1803). Not investment advice.</w:t>
      </w:r>
    </w:p>
    <w:bookmarkStart w:id="9" w:name="plain-words-what-is-happening"/>
    <w:p>
      <w:pPr>
        <w:pStyle w:val="Heading2"/>
      </w:pPr>
      <w:r>
        <w:t xml:space="preserve">1. Plain words: what is happening?</w:t>
      </w:r>
    </w:p>
    <w:p>
      <w:pPr>
        <w:pStyle w:val="FirstParagraph"/>
      </w:pPr>
      <w:r>
        <w:t xml:space="preserve">Every month the US Bureau of Labor Statistics reports how much a basket of goods and services got more expensive. That’s CPI. Tomorrow’s report covers September. Markets care most about</w:t>
      </w:r>
      <w:r>
        <w:t xml:space="preserve"> </w:t>
      </w:r>
      <w:r>
        <w:rPr>
          <w:b/>
          <w:bCs/>
        </w:rPr>
        <w:t xml:space="preserve">core CPI</w:t>
      </w:r>
      <w:r>
        <w:t xml:space="preserve">, which strips out food and energy, because it shows whether inflation is sticking around.</w:t>
      </w:r>
    </w:p>
    <w:bookmarkEnd w:id="9"/>
    <w:bookmarkStart w:id="10" w:name="glossary术语表"/>
    <w:p>
      <w:pPr>
        <w:pStyle w:val="Heading2"/>
      </w:pPr>
      <w:r>
        <w:t xml:space="preserve">2. </w:t>
      </w:r>
      <w:r>
        <w:rPr>
          <w:rFonts w:hint="eastAsia"/>
        </w:rPr>
        <w:t xml:space="preserve">Glossary｜术语表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(Consumer Price Index)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消费者价格指数</w:t>
            </w:r>
          </w:p>
        </w:tc>
        <w:tc>
          <w:tcPr/>
          <w:p>
            <w:pPr>
              <w:pStyle w:val="Compact"/>
            </w:pPr>
            <w:r>
              <w:t xml:space="preserve">a thermometer for consumer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核心CPI</w:t>
            </w:r>
          </w:p>
        </w:tc>
        <w:tc>
          <w:tcPr/>
          <w:p>
            <w:pPr>
              <w:pStyle w:val="Compact"/>
            </w:pPr>
            <w:r>
              <w:t xml:space="preserve">excludes food and energy to remove the</w:t>
            </w:r>
            <w:r>
              <w:t xml:space="preserve"> </w:t>
            </w:r>
            <w:r>
              <w:t xml:space="preserve">“weather noise”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 (month-over-month)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t xml:space="preserve">vs last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YoY (year-over-year)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</w:t>
            </w:r>
          </w:p>
        </w:tc>
        <w:tc>
          <w:tcPr/>
          <w:p>
            <w:pPr>
              <w:pStyle w:val="Compact"/>
            </w:pPr>
            <w:r>
              <w:t xml:space="preserve">vs the same month last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基数效应</w:t>
            </w:r>
          </w:p>
        </w:tc>
        <w:tc>
          <w:tcPr/>
          <w:p>
            <w:pPr>
              <w:pStyle w:val="Compact"/>
            </w:pPr>
            <w:r>
              <w:t xml:space="preserve">last year’s level makes this year’s y/y look higher or 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Shelter / OER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/ </w:t>
            </w:r>
            <w:r>
              <w:rPr>
                <w:rFonts w:hint="eastAsia"/>
              </w:rPr>
              <w:t xml:space="preserve">业主等价租金</w:t>
            </w:r>
          </w:p>
        </w:tc>
        <w:tc>
          <w:tcPr/>
          <w:p>
            <w:pPr>
              <w:pStyle w:val="Compact"/>
            </w:pPr>
            <w:r>
              <w:t xml:space="preserve">about a third of CPI; moves slowly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超级核心</w:t>
            </w:r>
          </w:p>
        </w:tc>
        <w:tc>
          <w:tcPr/>
          <w:p>
            <w:pPr>
              <w:pStyle w:val="Compact"/>
            </w:pPr>
            <w:r>
              <w:t xml:space="preserve">core services excluding shelter; most wage-linked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3m annualised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三个月年化</w:t>
            </w:r>
          </w:p>
        </w:tc>
        <w:tc>
          <w:tcPr/>
          <w:p>
            <w:pPr>
              <w:pStyle w:val="Compact"/>
            </w:pPr>
            <w:r>
              <w:t xml:space="preserve">the last three months’ pace scaled to a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Breakeven inflation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盈亏平衡通胀率</w:t>
            </w:r>
          </w:p>
        </w:tc>
        <w:tc>
          <w:tcPr/>
          <w:p>
            <w:pPr>
              <w:pStyle w:val="Compact"/>
            </w:pPr>
            <w:r>
              <w:t xml:space="preserve">the bond market’s bet on future inflation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premium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期限溢价</w:t>
            </w:r>
          </w:p>
        </w:tc>
        <w:tc>
          <w:tcPr/>
          <w:p>
            <w:pPr>
              <w:pStyle w:val="Compact"/>
            </w:pPr>
            <w:r>
              <w:t xml:space="preserve">extra pay for lending for longer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加权平均资本成本</w:t>
            </w:r>
          </w:p>
        </w:tc>
        <w:tc>
          <w:tcPr/>
          <w:p>
            <w:pPr>
              <w:pStyle w:val="Compact"/>
            </w:pPr>
            <w:r>
              <w:t xml:space="preserve">the discount rate applied to future cash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联邦公开市场委员会</w:t>
            </w:r>
          </w:p>
        </w:tc>
        <w:tc>
          <w:tcPr/>
          <w:p>
            <w:pPr>
              <w:pStyle w:val="Compact"/>
            </w:pPr>
            <w:r>
              <w:t xml:space="preserve">the Fed meeting that sets US rates</w:t>
            </w:r>
          </w:p>
        </w:tc>
      </w:tr>
    </w:tbl>
    <w:bookmarkEnd w:id="10"/>
    <w:bookmarkStart w:id="11" w:name="everyday-analogies"/>
    <w:p>
      <w:pPr>
        <w:pStyle w:val="Heading2"/>
      </w:pPr>
      <w:r>
        <w:t xml:space="preserve">3. Everyday analogies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vs headline</w:t>
      </w:r>
      <w:r>
        <w:t xml:space="preserve">: taking your temperature right after a run (an energy spike) reads high; core is like waiting ten minutes and measuring again.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2-year Treasury yield</w:t>
      </w:r>
      <w:r>
        <w:t xml:space="preserve">: the whole class voting on whether the teacher will add homework (a hike); the vote changes the second the data lands.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Rates and growth stocks</w:t>
      </w:r>
      <w:r>
        <w:t xml:space="preserve">: a seesaw. When rates rise, stocks whose profits are far in the future sink, because future money gets discounted more.</w:t>
      </w:r>
    </w:p>
    <w:bookmarkEnd w:id="11"/>
    <w:bookmarkStart w:id="12" w:name="cause-and-effect"/>
    <w:p>
      <w:pPr>
        <w:pStyle w:val="Heading2"/>
      </w:pPr>
      <w:r>
        <w:t xml:space="preserve">4. Cause and effect</w:t>
      </w:r>
    </w:p>
    <w:p>
      <w:pPr>
        <w:pStyle w:val="FirstParagraph"/>
      </w:pPr>
      <w:r>
        <w:t xml:space="preserve">Hot core → Fed hike seen as likelier → 2Y yield up → 10Y up → discount rate up → growth valuations down → Nasdaq and semis down.</w:t>
      </w:r>
      <w:r>
        <w:t xml:space="preserve"> </w:t>
      </w:r>
      <w:r>
        <w:t xml:space="preserve">Cool core → hike odds down → yields down → valuation pressure eases → oversold semis may bounce (memory names have a separate supply problem).</w:t>
      </w:r>
    </w:p>
    <w:bookmarkEnd w:id="12"/>
    <w:bookmarkStart w:id="13" w:name="Xa92ca6ac14886978e9ee64b42ad571703ed7523"/>
    <w:p>
      <w:pPr>
        <w:pStyle w:val="Heading2"/>
      </w:pPr>
      <w:r>
        <w:t xml:space="preserve">5. Worked numbers (from FRED data and our calculations)</w:t>
      </w:r>
    </w:p>
    <w:p>
      <w:pPr>
        <w:pStyle w:val="Compact"/>
        <w:numPr>
          <w:ilvl w:val="0"/>
          <w:numId w:val="1002"/>
        </w:numPr>
      </w:pPr>
      <w:r>
        <w:t xml:space="preserve">Example 1 (y/y): August’s core index is 337.765. At +0.22% m/m, September is 337.765 × 1.0022 = 338.51; last September was 330.418, so y/y = 338.51 ÷ 330.418 − 1 ≈</w:t>
      </w:r>
      <w:r>
        <w:t xml:space="preserve"> </w:t>
      </w:r>
      <w:r>
        <w:rPr>
          <w:b/>
          <w:bCs/>
        </w:rPr>
        <w:t xml:space="preserve">2.45%</w:t>
      </w:r>
      <w:r>
        <w:t xml:space="preserve">. That’s exactly on the 2.4%/2.5% rounding line.</w:t>
      </w:r>
    </w:p>
    <w:p>
      <w:pPr>
        <w:pStyle w:val="Compact"/>
        <w:numPr>
          <w:ilvl w:val="0"/>
          <w:numId w:val="1002"/>
        </w:numPr>
      </w:pPr>
      <w:r>
        <w:t xml:space="preserve">Example 2 (3-month annualised): July, August and September core at 0.215%, 0.29% and 0.22% give (1.00215 × 1.0029 × 1.0022)^4 − 1 ≈</w:t>
      </w:r>
      <w:r>
        <w:t xml:space="preserve"> </w:t>
      </w:r>
      <w:r>
        <w:rPr>
          <w:b/>
          <w:bCs/>
        </w:rPr>
        <w:t xml:space="preserve">2.9%</w:t>
      </w:r>
      <w:r>
        <w:t xml:space="preserve">, above the 2.4% y/y, which says recent momentum is faster.</w:t>
      </w:r>
    </w:p>
    <w:p>
      <w:pPr>
        <w:pStyle w:val="Compact"/>
        <w:numPr>
          <w:ilvl w:val="0"/>
          <w:numId w:val="1002"/>
        </w:numPr>
      </w:pPr>
      <w:r>
        <w:t xml:space="preserve">Example 3 (a stock): over the past year, each +10bp in the 10Y came with an average same-day move of about −2.6% in ARM. If the 10Y rises 8bp tomorrow night, the rate-driven part is about −2.0%. But R² is only 0.04, meaning rates explain about 4% of ARM’s daily moves; the rest is company and industry news.</w:t>
      </w:r>
    </w:p>
    <w:bookmarkEnd w:id="13"/>
    <w:bookmarkStart w:id="14" w:name="X65ad18463d407741d700e757280e9d4b2d247f4"/>
    <w:p>
      <w:pPr>
        <w:pStyle w:val="Heading2"/>
      </w:pPr>
      <w:r>
        <w:t xml:space="preserve">6. Keep facts, forecasts and market expectations apart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Facts</w:t>
      </w:r>
      <w:r>
        <w:t xml:space="preserve">: August core m/m 0.29%; September payrolls +29k; unemployment 4.2%; Fed target range 3.75–4.00%.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expectations</w:t>
      </w:r>
      <w:r>
        <w:t xml:space="preserve">: core m/m 0.2%; October hike odds about 20%, December about 73% (Kalshi).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 forecast</w:t>
      </w:r>
      <w:r>
        <w:t xml:space="preserve">: core 0.22%; scenario probabilities 25/50/25.</w:t>
      </w:r>
    </w:p>
    <w:bookmarkEnd w:id="14"/>
    <w:bookmarkStart w:id="15" w:name="three-scenarios"/>
    <w:p>
      <w:pPr>
        <w:pStyle w:val="Heading2"/>
      </w:pPr>
      <w:r>
        <w:t xml:space="preserve">7. Three scenarios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Cool (≤0.15%, 25%)</w:t>
      </w:r>
      <w:r>
        <w:t xml:space="preserve">: yields fall; growth stocks and semis may bounce.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line (0.16–0.24%, 50%)</w:t>
      </w:r>
      <w:r>
        <w:t xml:space="preserve">: attention moves to Thursday’s PPI, retail sales and TSMC’s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 (≥0.25%, 25%)</w:t>
      </w:r>
      <w:r>
        <w:t xml:space="preserve">: yields and the dollar rise; Nasdaq and semis come under pressure; an October hike is back on the table.</w:t>
      </w:r>
    </w:p>
    <w:bookmarkEnd w:id="15"/>
    <w:bookmarkStart w:id="22" w:name="counterarguments-and-falsifiers"/>
    <w:p>
      <w:pPr>
        <w:pStyle w:val="Heading2"/>
      </w:pPr>
      <w:r>
        <w:t xml:space="preserve">8. Counterarguments and falsifiers</w:t>
      </w:r>
    </w:p>
    <w:p>
      <w:pPr>
        <w:pStyle w:val="Compact"/>
        <w:numPr>
          <w:ilvl w:val="0"/>
          <w:numId w:val="1005"/>
        </w:numPr>
      </w:pPr>
      <w:r>
        <w:t xml:space="preserve">Counterpoint: a 10Y above 5.2% is mostly about fiscal supply and term premium, so neither a good nor a bad CPI may move it much.</w:t>
      </w:r>
    </w:p>
    <w:p>
      <w:pPr>
        <w:pStyle w:val="Compact"/>
        <w:numPr>
          <w:ilvl w:val="0"/>
          <w:numId w:val="1005"/>
        </w:numPr>
      </w:pPr>
      <w:r>
        <w:t xml:space="preserve">Falsifier: if core is hot but the 10Y falls, the market is worried about growth, and the simple</w:t>
      </w:r>
      <w:r>
        <w:t xml:space="preserve"> </w:t>
      </w:r>
      <w:r>
        <w:t xml:space="preserve">“hot → rates up → stocks down”</w:t>
      </w:r>
      <w:r>
        <w:t xml:space="preserve"> </w:t>
      </w:r>
      <w:r>
        <w:t xml:space="preserve">logic fails for the day.</w:t>
      </w:r>
    </w:p>
    <w:p>
      <w:pPr>
        <w:pStyle w:val="Compact"/>
        <w:numPr>
          <w:ilvl w:val="0"/>
          <w:numId w:val="1005"/>
        </w:numPr>
      </w:pPr>
      <w:r>
        <w:t xml:space="preserve">Self-test: core 0.18%, headline 0.75%, and the 10Y breakeven up 6bp. What do you conclude? (Hint: section 6 of the main book on energy second-round effects.)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传导链 Transmission chain" title="" id="17" name="Picture"/>
            <a:graphic>
              <a:graphicData uri="http://schemas.openxmlformats.org/drawingml/2006/picture">
                <pic:pic>
                  <pic:nvPicPr>
                    <pic:cNvPr descr="images/01_transmission_chai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情景树 Scenario tree" title="" id="20" name="Picture"/>
            <a:graphic>
              <a:graphicData uri="http://schemas.openxmlformats.org/drawingml/2006/picture">
                <pic:pic>
                  <pic:nvPicPr>
                    <pic:cNvPr descr="images/03_scenarios_reaction_path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情景树</w:t>
      </w:r>
      <w:r>
        <w:t xml:space="preserve"> Scenario tree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2026-10-13T10:08:59Z</dcterms:created>
  <dcterms:modified xsi:type="dcterms:W3CDTF">2026-10-13T10:08:59Z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