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0418572ed23e3482da8bebd799cb7f9160f897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v20261013-1812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20261013-1812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+3.4% </w:t>
      </w:r>
      <w:r>
        <w:rPr>
          <w:rFonts w:hint="eastAsia"/>
        </w:rPr>
        <w:t xml:space="preserve">(2026-08-01)，核心CPI</w:t>
      </w:r>
      <w:r>
        <w:t xml:space="preserve"> </w:t>
      </w:r>
      <w:r>
        <w:rPr>
          <w:rFonts w:hint="eastAsia"/>
        </w:rPr>
        <w:t xml:space="preserve">+2.4%，核心PCE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(2026-10-12)；10Y</w:t>
      </w:r>
      <w:r>
        <w:t xml:space="preserve"> </w:t>
      </w:r>
      <w:r>
        <w:rPr>
          <w:rFonts w:hint="eastAsia"/>
        </w:rPr>
        <w:t xml:space="preserve">5.22%；10Y实际利率</w:t>
      </w:r>
      <w:r>
        <w:t xml:space="preserve"> </w:t>
      </w:r>
      <w:r>
        <w:rPr>
          <w:rFonts w:hint="eastAsia"/>
        </w:rPr>
        <w:t xml:space="preserve">2.87%；2s10s</w:t>
      </w:r>
      <w:r>
        <w:t xml:space="preserve"> 0.44%。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5,867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+2.4%，VIX</w:t>
      </w:r>
      <w:r>
        <w:t xml:space="preserve"> 15.3)。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3.15%；芝加哥金融条件指数</w:t>
      </w:r>
      <w:r>
        <w:t xml:space="preserve"> NFCI </w:t>
      </w:r>
      <w:r>
        <w:rPr>
          <w:rFonts w:hint="eastAsia"/>
        </w:rPr>
        <w:t xml:space="preserve">-0.494（负=宽松）。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7,807.240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+2.0%</w:t>
            </w:r>
          </w:p>
        </w:tc>
        <w:tc>
          <w:tcPr/>
          <w:p>
            <w:pPr>
              <w:pStyle w:val="Compact"/>
            </w:pPr>
            <w:r>
              <w:t xml:space="preserve">+15.9%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30,664.699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+22.2%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12,236.790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+78.9%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15.290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-10.6%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4.050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5.019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+34.2%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5.240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+26.3%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5.598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102.325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158.121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91.890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-9.4%</w:t>
            </w:r>
          </w:p>
        </w:tc>
        <w:tc>
          <w:tcPr/>
          <w:p>
            <w:pPr>
              <w:pStyle w:val="Compact"/>
            </w:pPr>
            <w:r>
              <w:t xml:space="preserve">+56.0%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4,209.200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6.768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+1.0%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+39.6%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83,485.523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67,777.523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48,341.309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+84.5%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6,035.350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77.290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78.050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590.990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+4.0%</w:t>
            </w:r>
          </w:p>
        </w:tc>
        <w:tc>
          <w:tcPr/>
          <w:p>
            <w:pPr>
              <w:pStyle w:val="Compact"/>
            </w:pPr>
            <w:r>
              <w:t xml:space="preserve">+71.7%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334.131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337.765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157.411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197,000.000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4.750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5.220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2.330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2.870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6,747,560.000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880,253.000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-0.494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2.940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20261013-1812.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218b54d83995c196cd45b1c64dcb5db6881cff"/>
    <w:p>
      <w:pPr>
        <w:pStyle w:val="Heading1"/>
      </w:pPr>
      <w:r>
        <w:t xml:space="preserve">Macro &amp; Cross-Asset Special (English) v20261013-1812</w:t>
      </w:r>
    </w:p>
    <w:p>
      <w:pPr>
        <w:pStyle w:val="Compact"/>
        <w:numPr>
          <w:ilvl w:val="0"/>
          <w:numId w:val="1004"/>
        </w:numPr>
      </w:pPr>
      <w:r>
        <w:t xml:space="preserve">Inflation: CPI YoY +3.4%, core CPI +2.4%,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5.22%; 10Y real 2.87%; 2s10s 0.44%.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5,867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+2.4%, VIX 15.3).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2026-10-13T12:44:33Z</dcterms:created>
  <dcterms:modified xsi:type="dcterms:W3CDTF">2026-10-13T12:44:33Z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