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10-13d"/>
    <w:p>
      <w:pPr>
        <w:pStyle w:val="Heading1"/>
      </w:pPr>
      <w:r>
        <w:t xml:space="preserve">Master Prompt Changelog v2026-10-13d</w:t>
      </w:r>
    </w:p>
    <w:p>
      <w:pPr>
        <w:pStyle w:val="FirstParagraph"/>
      </w:pPr>
      <w:r>
        <w:t xml:space="preserve">ADDED Part D News Explainer Infographic </w:t>
      </w:r>
      <w:r>
        <w:rPr>
          <w:rFonts w:hint="eastAsia"/>
        </w:rPr>
        <w:t xml:space="preserve">新闻解读图</w:t>
      </w:r>
      <w:r>
        <w:t xml:space="preserve"> (trigger: material news / market discussion; template, layout, sourcing &amp; fact/expectation/judgment rules) and Part E Report Library categorisation. Event routines must include/link a </w:t>
      </w:r>
      <w:r>
        <w:rPr>
          <w:rFonts w:hint="eastAsia"/>
        </w:rPr>
        <w:t xml:space="preserve">新闻解读图.</w:t>
      </w:r>
      <w:r>
        <w:t xml:space="preserve"> v2026-10-13c preserved.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2026-10-13T12:58:20Z</dcterms:created>
  <dcterms:modified xsi:type="dcterms:W3CDTF">2026-10-13T12:58:20Z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