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apl-初学者教学版-中文-v20261017-0755"/>
    <w:p>
      <w:pPr>
        <w:pStyle w:val="Heading1"/>
      </w:pPr>
      <w:r>
        <w:t xml:space="preserve">AAPL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Apple Inc. </w:t>
      </w:r>
      <w:r>
        <w:rPr>
          <w:rFonts w:hint="eastAsia"/>
        </w:rPr>
        <w:t xml:space="preserve">是一家</w:t>
      </w:r>
      <w:r>
        <w:t xml:space="preserve"> Consumer hardware + services ecosystem </w:t>
      </w:r>
      <w:r>
        <w:rPr>
          <w:rFonts w:hint="eastAsia"/>
        </w:rPr>
        <w:t xml:space="preserve">消费电子+服务生态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$343.46。我们的Base模型认为每股价值约</w:t>
      </w:r>
      <w:r>
        <w:t xml:space="preserve"> </w:t>
      </w:r>
      <w:r>
        <w:rPr>
          <w:rFonts w:hint="eastAsia"/>
        </w:rPr>
        <w:t xml:space="preserve">$156（-54.7%）。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‘2.02’</w:t>
      </w:r>
      <w:r>
        <w:t xml:space="preserve">,</w:t>
      </w:r>
      <w:r>
        <w:t xml:space="preserve"> </w:t>
      </w:r>
      <w:r>
        <w:t xml:space="preserve">‘1.89243’</w:t>
      </w:r>
      <w:r>
        <w:t xml:space="preserve">,</w:t>
      </w:r>
      <w:r>
        <w:t xml:space="preserve"> </w:t>
      </w:r>
      <w:r>
        <w:t xml:space="preserve">‘0.0674’</w:t>
      </w:r>
      <w:r>
        <w:rPr>
          <w:rFonts w:hint="eastAsia"/>
        </w:rPr>
        <w:t xml:space="preserve">]（实际、预期、超预期%）。下次财报约</w:t>
      </w:r>
      <w:r>
        <w:t xml:space="preserve"> 2026-11-03。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Consumer hardware + services ecosystem </w:t>
      </w:r>
      <w:r>
        <w:rPr>
          <w:rFonts w:hint="eastAsia"/>
        </w:rPr>
        <w:t xml:space="preserve">消费电子+服务生态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466.8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10.4%；m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26.0%；W</w:t>
      </w:r>
      <w:r>
        <w:t xml:space="preserve"> = WACC = 10.4%。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515.5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29.3% </w:t>
      </w:r>
      <w:r>
        <w:rPr>
          <w:rFonts w:hint="eastAsia"/>
        </w:rPr>
        <w:t xml:space="preserve">向</w:t>
      </w:r>
      <w:r>
        <w:t xml:space="preserve"> 26.0% </w:t>
      </w:r>
      <w:r>
        <w:rPr>
          <w:rFonts w:hint="eastAsia"/>
        </w:rPr>
        <w:t xml:space="preserve">线性过渡）=</w:t>
      </w:r>
      <w:r>
        <w:t xml:space="preserve"> 147.6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133.6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2,294.6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10.4%；价格隐含增速</w:t>
      </w:r>
      <w:r>
        <w:t xml:space="preserve"> 31.1%。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$88 / Base $156 / Bull </w:t>
      </w:r>
      <w:r>
        <w:rPr>
          <w:rFonts w:hint="eastAsia"/>
        </w:rPr>
        <w:t xml:space="preserve">$229；概率加权</w:t>
      </w:r>
      <w:r>
        <w:t xml:space="preserve"> $157。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Memory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907f92f9c6458e96c78a813513ff80de65f1ff"/>
    <w:p>
      <w:pPr>
        <w:pStyle w:val="Heading1"/>
      </w:pPr>
      <w:r>
        <w:t xml:space="preserve">AAPL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Apple Inc. is a Consumer hardware + services ecosystem </w:t>
      </w:r>
      <w:r>
        <w:rPr>
          <w:rFonts w:hint="eastAsia"/>
        </w:rPr>
        <w:t xml:space="preserve">消费电子+服务生态</w:t>
      </w:r>
      <w:r>
        <w:t xml:space="preserve"> company. Price $343.46; our Base model value ≈ $156 (-54.7%).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‘2.02’</w:t>
      </w:r>
      <w:r>
        <w:t xml:space="preserve">,</w:t>
      </w:r>
      <w:r>
        <w:t xml:space="preserve"> </w:t>
      </w:r>
      <w:r>
        <w:t xml:space="preserve">‘1.89243’</w:t>
      </w:r>
      <w:r>
        <w:t xml:space="preserve">,</w:t>
      </w:r>
      <w:r>
        <w:t xml:space="preserve"> </w:t>
      </w:r>
      <w:r>
        <w:t xml:space="preserve">‘0.0674’</w:t>
      </w:r>
      <w:r>
        <w:t xml:space="preserve">]. Next earnings ≈ 2026-11-03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466.8 bn USD; g₁ = 10.4%; m = long-run FCF margin = 26.0%; W = 10.4%.</w:t>
      </w:r>
      <w:r>
        <w:t xml:space="preserve"> </w:t>
      </w:r>
      <w:r>
        <w:t xml:space="preserve">R₁ = R₀×(1+g₁) = 515.5 bn USD; FCF₁ = 147.6 bn USD; PV = FCF₁/(1+W) = 133.6 bn USD; 10 years + terminal → EV 2,294.6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10.4%; price-implied growth 31.1%.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$88 / Base $156 / Bull $229; weighted $157.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Memory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  <w:r>
        <w:t xml:space="preserve"> — Falsifiers: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AP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2026-10-16T23:57:31Z</dcterms:created>
  <dcterms:modified xsi:type="dcterms:W3CDTF">2026-10-16T23:57:31Z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