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c76d78c65fdcdf8e2625c37fc9d04f8cc2ab72"/>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$409.29｜市值</w:t>
      </w:r>
      <w:r>
        <w:t xml:space="preserve"> 324.8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$132.81</w:t>
            </w:r>
          </w:p>
        </w:tc>
        <w:tc>
          <w:tcPr/>
          <w:p>
            <w:pPr>
              <w:pStyle w:val="Compact"/>
            </w:pPr>
            <w:r>
              <w:t xml:space="preserve">-67.6%</w:t>
            </w:r>
          </w:p>
        </w:tc>
      </w:tr>
      <w:tr>
        <w:tc>
          <w:tcPr/>
          <w:p>
            <w:pPr>
              <w:pStyle w:val="Compact"/>
            </w:pPr>
            <w:r>
              <w:t xml:space="preserve">2Q</w:t>
            </w:r>
          </w:p>
        </w:tc>
        <w:tc>
          <w:tcPr/>
          <w:p>
            <w:pPr>
              <w:pStyle w:val="Compact"/>
            </w:pPr>
            <w:r>
              <w:t xml:space="preserve">Base</w:t>
            </w:r>
          </w:p>
        </w:tc>
        <w:tc>
          <w:tcPr/>
          <w:p>
            <w:pPr>
              <w:pStyle w:val="Compact"/>
            </w:pPr>
            <w:r>
              <w:t xml:space="preserve">$293.22</w:t>
            </w:r>
          </w:p>
        </w:tc>
        <w:tc>
          <w:tcPr/>
          <w:p>
            <w:pPr>
              <w:pStyle w:val="Compact"/>
            </w:pPr>
            <w:r>
              <w:t xml:space="preserve">-28.4%</w:t>
            </w:r>
          </w:p>
        </w:tc>
      </w:tr>
      <w:tr>
        <w:tc>
          <w:tcPr/>
          <w:p>
            <w:pPr>
              <w:pStyle w:val="Compact"/>
            </w:pPr>
            <w:r>
              <w:t xml:space="preserve">2Q</w:t>
            </w:r>
          </w:p>
        </w:tc>
        <w:tc>
          <w:tcPr/>
          <w:p>
            <w:pPr>
              <w:pStyle w:val="Compact"/>
            </w:pPr>
            <w:r>
              <w:t xml:space="preserve">Bull</w:t>
            </w:r>
          </w:p>
        </w:tc>
        <w:tc>
          <w:tcPr/>
          <w:p>
            <w:pPr>
              <w:pStyle w:val="Compact"/>
            </w:pPr>
            <w:r>
              <w:t xml:space="preserve">$484.63</w:t>
            </w:r>
          </w:p>
        </w:tc>
        <w:tc>
          <w:tcPr/>
          <w:p>
            <w:pPr>
              <w:pStyle w:val="Compact"/>
            </w:pPr>
            <w:r>
              <w:t xml:space="preserve">18.4%</w:t>
            </w:r>
          </w:p>
        </w:tc>
      </w:tr>
      <w:tr>
        <w:tc>
          <w:tcPr/>
          <w:p>
            <w:pPr>
              <w:pStyle w:val="Compact"/>
            </w:pPr>
            <w:r>
              <w:t xml:space="preserve">4Q</w:t>
            </w:r>
          </w:p>
        </w:tc>
        <w:tc>
          <w:tcPr/>
          <w:p>
            <w:pPr>
              <w:pStyle w:val="Compact"/>
            </w:pPr>
            <w:r>
              <w:t xml:space="preserve">Bear</w:t>
            </w:r>
          </w:p>
        </w:tc>
        <w:tc>
          <w:tcPr/>
          <w:p>
            <w:pPr>
              <w:pStyle w:val="Compact"/>
            </w:pPr>
            <w:r>
              <w:t xml:space="preserve">$135.93</w:t>
            </w:r>
          </w:p>
        </w:tc>
        <w:tc>
          <w:tcPr/>
          <w:p>
            <w:pPr>
              <w:pStyle w:val="Compact"/>
            </w:pPr>
            <w:r>
              <w:t xml:space="preserve">-66.8%</w:t>
            </w:r>
          </w:p>
        </w:tc>
      </w:tr>
      <w:tr>
        <w:tc>
          <w:tcPr/>
          <w:p>
            <w:pPr>
              <w:pStyle w:val="Compact"/>
            </w:pPr>
            <w:r>
              <w:t xml:space="preserve">4Q</w:t>
            </w:r>
          </w:p>
        </w:tc>
        <w:tc>
          <w:tcPr/>
          <w:p>
            <w:pPr>
              <w:pStyle w:val="Compact"/>
            </w:pPr>
            <w:r>
              <w:t xml:space="preserve">Base</w:t>
            </w:r>
          </w:p>
        </w:tc>
        <w:tc>
          <w:tcPr/>
          <w:p>
            <w:pPr>
              <w:pStyle w:val="Compact"/>
            </w:pPr>
            <w:r>
              <w:t xml:space="preserve">$330.91</w:t>
            </w:r>
          </w:p>
        </w:tc>
        <w:tc>
          <w:tcPr/>
          <w:p>
            <w:pPr>
              <w:pStyle w:val="Compact"/>
            </w:pPr>
            <w:r>
              <w:t xml:space="preserve">-19.2%</w:t>
            </w:r>
          </w:p>
        </w:tc>
      </w:tr>
      <w:tr>
        <w:tc>
          <w:tcPr/>
          <w:p>
            <w:pPr>
              <w:pStyle w:val="Compact"/>
            </w:pPr>
            <w:r>
              <w:t xml:space="preserve">4Q</w:t>
            </w:r>
          </w:p>
        </w:tc>
        <w:tc>
          <w:tcPr/>
          <w:p>
            <w:pPr>
              <w:pStyle w:val="Compact"/>
            </w:pPr>
            <w:r>
              <w:t xml:space="preserve">Bull</w:t>
            </w:r>
          </w:p>
        </w:tc>
        <w:tc>
          <w:tcPr/>
          <w:p>
            <w:pPr>
              <w:pStyle w:val="Compact"/>
            </w:pPr>
            <w:r>
              <w:t xml:space="preserve">$578.00</w:t>
            </w:r>
          </w:p>
        </w:tc>
        <w:tc>
          <w:tcPr/>
          <w:p>
            <w:pPr>
              <w:pStyle w:val="Compact"/>
            </w:pPr>
            <w:r>
              <w:t xml:space="preserve">41.2%</w:t>
            </w:r>
          </w:p>
        </w:tc>
      </w:tr>
      <w:tr>
        <w:tc>
          <w:tcPr/>
          <w:p>
            <w:pPr>
              <w:pStyle w:val="Compact"/>
            </w:pPr>
            <w:r>
              <w:t xml:space="preserve">6Q</w:t>
            </w:r>
          </w:p>
        </w:tc>
        <w:tc>
          <w:tcPr/>
          <w:p>
            <w:pPr>
              <w:pStyle w:val="Compact"/>
            </w:pPr>
            <w:r>
              <w:t xml:space="preserve">Bear</w:t>
            </w:r>
          </w:p>
        </w:tc>
        <w:tc>
          <w:tcPr/>
          <w:p>
            <w:pPr>
              <w:pStyle w:val="Compact"/>
            </w:pPr>
            <w:r>
              <w:t xml:space="preserve">$139.12</w:t>
            </w:r>
          </w:p>
        </w:tc>
        <w:tc>
          <w:tcPr/>
          <w:p>
            <w:pPr>
              <w:pStyle w:val="Compact"/>
            </w:pPr>
            <w:r>
              <w:t xml:space="preserve">-66.0%</w:t>
            </w:r>
          </w:p>
        </w:tc>
      </w:tr>
      <w:tr>
        <w:tc>
          <w:tcPr/>
          <w:p>
            <w:pPr>
              <w:pStyle w:val="Compact"/>
            </w:pPr>
            <w:r>
              <w:t xml:space="preserve">6Q</w:t>
            </w:r>
          </w:p>
        </w:tc>
        <w:tc>
          <w:tcPr/>
          <w:p>
            <w:pPr>
              <w:pStyle w:val="Compact"/>
            </w:pPr>
            <w:r>
              <w:t xml:space="preserve">Base</w:t>
            </w:r>
          </w:p>
        </w:tc>
        <w:tc>
          <w:tcPr/>
          <w:p>
            <w:pPr>
              <w:pStyle w:val="Compact"/>
            </w:pPr>
            <w:r>
              <w:t xml:space="preserve">$373.14</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$687.99</w:t>
            </w:r>
          </w:p>
        </w:tc>
        <w:tc>
          <w:tcPr/>
          <w:p>
            <w:pPr>
              <w:pStyle w:val="Compact"/>
            </w:pPr>
            <w:r>
              <w:t xml:space="preserve">68.1%</w:t>
            </w:r>
          </w:p>
        </w:tc>
      </w:tr>
      <w:tr>
        <w:tc>
          <w:tcPr/>
          <w:p>
            <w:pPr>
              <w:pStyle w:val="Compact"/>
            </w:pPr>
            <w:r>
              <w:t xml:space="preserve">8Q</w:t>
            </w:r>
          </w:p>
        </w:tc>
        <w:tc>
          <w:tcPr/>
          <w:p>
            <w:pPr>
              <w:pStyle w:val="Compact"/>
            </w:pPr>
            <w:r>
              <w:t xml:space="preserve">Bear</w:t>
            </w:r>
          </w:p>
        </w:tc>
        <w:tc>
          <w:tcPr/>
          <w:p>
            <w:pPr>
              <w:pStyle w:val="Compact"/>
            </w:pPr>
            <w:r>
              <w:t xml:space="preserve">$142.39</w:t>
            </w:r>
          </w:p>
        </w:tc>
        <w:tc>
          <w:tcPr/>
          <w:p>
            <w:pPr>
              <w:pStyle w:val="Compact"/>
            </w:pPr>
            <w:r>
              <w:t xml:space="preserve">-65.2%</w:t>
            </w:r>
          </w:p>
        </w:tc>
      </w:tr>
      <w:tr>
        <w:tc>
          <w:tcPr/>
          <w:p>
            <w:pPr>
              <w:pStyle w:val="Compact"/>
            </w:pPr>
            <w:r>
              <w:t xml:space="preserve">8Q</w:t>
            </w:r>
          </w:p>
        </w:tc>
        <w:tc>
          <w:tcPr/>
          <w:p>
            <w:pPr>
              <w:pStyle w:val="Compact"/>
            </w:pPr>
            <w:r>
              <w:t xml:space="preserve">Base</w:t>
            </w:r>
          </w:p>
        </w:tc>
        <w:tc>
          <w:tcPr/>
          <w:p>
            <w:pPr>
              <w:pStyle w:val="Compact"/>
            </w:pPr>
            <w:r>
              <w:t xml:space="preserve">$420.42</w:t>
            </w:r>
          </w:p>
        </w:tc>
        <w:tc>
          <w:tcPr/>
          <w:p>
            <w:pPr>
              <w:pStyle w:val="Compact"/>
            </w:pPr>
            <w:r>
              <w:t xml:space="preserve">2.7%</w:t>
            </w:r>
          </w:p>
        </w:tc>
      </w:tr>
      <w:tr>
        <w:tc>
          <w:tcPr/>
          <w:p>
            <w:pPr>
              <w:pStyle w:val="Compact"/>
            </w:pPr>
            <w:r>
              <w:t xml:space="preserve">8Q</w:t>
            </w:r>
          </w:p>
        </w:tc>
        <w:tc>
          <w:tcPr/>
          <w:p>
            <w:pPr>
              <w:pStyle w:val="Compact"/>
            </w:pPr>
            <w:r>
              <w:t xml:space="preserve">Bull</w:t>
            </w:r>
          </w:p>
        </w:tc>
        <w:tc>
          <w:tcPr/>
          <w:p>
            <w:pPr>
              <w:pStyle w:val="Compact"/>
            </w:pPr>
            <w:r>
              <w:t xml:space="preserve">$817.40</w:t>
            </w:r>
          </w:p>
        </w:tc>
        <w:tc>
          <w:tcPr/>
          <w:p>
            <w:pPr>
              <w:pStyle w:val="Compact"/>
            </w:pPr>
            <w:r>
              <w:t xml:space="preserve">99.7%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32.9x</w:t>
            </w:r>
          </w:p>
        </w:tc>
      </w:tr>
      <w:tr>
        <w:tc>
          <w:tcPr/>
          <w:p>
            <w:pPr>
              <w:pStyle w:val="Compact"/>
            </w:pPr>
            <w:r>
              <w:t xml:space="preserve">4Q</w:t>
            </w:r>
          </w:p>
        </w:tc>
        <w:tc>
          <w:tcPr/>
          <w:p>
            <w:pPr>
              <w:pStyle w:val="Compact"/>
            </w:pPr>
            <w:r>
              <w:t xml:space="preserve">27.4x</w:t>
            </w:r>
          </w:p>
        </w:tc>
      </w:tr>
      <w:tr>
        <w:tc>
          <w:tcPr/>
          <w:p>
            <w:pPr>
              <w:pStyle w:val="Compact"/>
            </w:pPr>
            <w:r>
              <w:t xml:space="preserve">6Q</w:t>
            </w:r>
          </w:p>
        </w:tc>
        <w:tc>
          <w:tcPr/>
          <w:p>
            <w:pPr>
              <w:pStyle w:val="Compact"/>
            </w:pPr>
            <w:r>
              <w:t xml:space="preserve">22.8x</w:t>
            </w:r>
          </w:p>
        </w:tc>
      </w:tr>
      <w:tr>
        <w:tc>
          <w:tcPr/>
          <w:p>
            <w:pPr>
              <w:pStyle w:val="Compact"/>
            </w:pPr>
            <w:r>
              <w:t xml:space="preserve">8Q</w:t>
            </w:r>
          </w:p>
        </w:tc>
        <w:tc>
          <w:tcPr/>
          <w:p>
            <w:pPr>
              <w:pStyle w:val="Compact"/>
            </w:pPr>
            <w:r>
              <w:t xml:space="preserve">19.0x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$121.35</w:t>
            </w:r>
          </w:p>
        </w:tc>
        <w:tc>
          <w:tcPr/>
          <w:p>
            <w:pPr>
              <w:pStyle w:val="Compact"/>
            </w:pPr>
            <w:r>
              <w:t xml:space="preserve">-70.4%</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$320.52</w:t>
            </w:r>
          </w:p>
        </w:tc>
        <w:tc>
          <w:tcPr/>
          <w:p>
            <w:pPr>
              <w:pStyle w:val="Compact"/>
            </w:pPr>
            <w:r>
              <w:t xml:space="preserve">-21.7%</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$589.57</w:t>
            </w:r>
          </w:p>
        </w:tc>
        <w:tc>
          <w:tcPr/>
          <w:p>
            <w:pPr>
              <w:pStyle w:val="Compact"/>
            </w:pPr>
            <w:r>
              <w:t xml:space="preserve">44.0%</w:t>
            </w:r>
          </w:p>
        </w:tc>
      </w:tr>
    </w:tbl>
    <w:p>
      <w:pPr>
        <w:pStyle w:val="BodyText"/>
      </w:pPr>
      <w:r>
        <w:rPr>
          <w:rFonts w:hint="eastAsia"/>
        </w:rPr>
        <w:t xml:space="preserve">概率加权价值</w:t>
      </w:r>
      <w:r>
        <w:t xml:space="preserve"> </w:t>
      </w:r>
      <w:r>
        <w:rPr>
          <w:b/>
          <w:bCs/>
        </w:rPr>
        <w:t xml:space="preserve">$337.99</w:t>
      </w:r>
      <w:r>
        <w:rPr>
          <w:rFonts w:hint="eastAsia"/>
        </w:rPr>
        <w:t xml:space="preserve">（相对现价</w:t>
      </w:r>
      <w:r>
        <w:t xml:space="preserve"> </w:t>
      </w:r>
      <w:r>
        <w:rPr>
          <w:rFonts w:hint="eastAsia"/>
        </w:rPr>
        <w:t xml:space="preserve">-17.4%）。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252.5 bn </w:t>
      </w:r>
      <w:r>
        <w:rPr>
          <w:rFonts w:hint="eastAsia"/>
        </w:rPr>
        <w:t xml:space="preserve">USD；终值占比</w:t>
      </w:r>
      <w:r>
        <w:t xml:space="preserve"> 50.7%。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42.2%</w:t>
      </w:r>
      <w:r>
        <w:rPr>
          <w:rFonts w:hint="eastAsia"/>
        </w:rPr>
        <w:t xml:space="preserve">；一致预期FY+1增速</w:t>
      </w:r>
      <w:r>
        <w:t xml:space="preserve"> 35.2%。</w:t>
      </w:r>
    </w:p>
    <w:p>
      <w:pPr>
        <w:numPr>
          <w:ilvl w:val="0"/>
          <w:numId w:val="1005"/>
        </w:numPr>
      </w:pPr>
      <w:r>
        <w:t xml:space="preserve">WACC (CAPM) = rf 5.1% + β 1.59 × ERP 5.0% = 13.1%。</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324.8 bn USD | 10.5x | 22.2x | 24.8% | 49.4% | 1.7% |</w:t>
      </w:r>
      <w:r>
        <w:t xml:space="preserve"> </w:t>
      </w:r>
      <w:r>
        <w:t xml:space="preserve">| LRCX | 330.3 bn USD | 14.2x | 22.4x | 30.0% | 50.5% | 0.9% |</w:t>
      </w:r>
      <w:r>
        <w:t xml:space="preserve"> </w:t>
      </w:r>
      <w:r>
        <w:t xml:space="preserve">| KLAC | 216.3 bn USD | 16.0x | 24.6x | 15.2% | 61.3% | 1.2% |</w:t>
      </w:r>
      <w:r>
        <w:t xml:space="preserve"> </w:t>
      </w:r>
      <w:r>
        <w:t xml:space="preserve">| ASML | 630.5 bn USD | 884.8x | 26.2x | 55.2% | 54.3% | 1.6% |</w:t>
      </w:r>
      <w:r>
        <w:t xml:space="preserve"> </w:t>
      </w:r>
      <w:r>
        <w:t xml:space="preserve">| 8035.T | 4,825.7 bn USD | 9.0x | 8.3x | 33.3% | 45.6% | 6.2%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409.3</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3.248e+11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72c0dbdb2cd742dd3020e78a834b499f56cc89"/>
    <w:p>
      <w:pPr>
        <w:pStyle w:val="Heading1"/>
      </w:pPr>
      <w:r>
        <w:t xml:space="preserve">AMAT Applied Materials, Inc. — Equity Deep Dive (Professional English) v20261017-0755</w:t>
      </w:r>
    </w:p>
    <w:p>
      <w:pPr>
        <w:pStyle w:val="BlockText"/>
      </w:pPr>
      <w:r>
        <w:t xml:space="preserve">Data as of 2026-10-17 07:55 SGT | Price $409.29 | Mkt cap 324.8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$132.81</w:t>
            </w:r>
          </w:p>
        </w:tc>
        <w:tc>
          <w:tcPr/>
          <w:p>
            <w:pPr>
              <w:pStyle w:val="Compact"/>
            </w:pPr>
            <w:r>
              <w:t xml:space="preserve">-67.6%</w:t>
            </w:r>
          </w:p>
        </w:tc>
      </w:tr>
      <w:tr>
        <w:tc>
          <w:tcPr/>
          <w:p>
            <w:pPr>
              <w:pStyle w:val="Compact"/>
            </w:pPr>
            <w:r>
              <w:t xml:space="preserve">2Q</w:t>
            </w:r>
          </w:p>
        </w:tc>
        <w:tc>
          <w:tcPr/>
          <w:p>
            <w:pPr>
              <w:pStyle w:val="Compact"/>
            </w:pPr>
            <w:r>
              <w:t xml:space="preserve">Base</w:t>
            </w:r>
          </w:p>
        </w:tc>
        <w:tc>
          <w:tcPr/>
          <w:p>
            <w:pPr>
              <w:pStyle w:val="Compact"/>
            </w:pPr>
            <w:r>
              <w:t xml:space="preserve">$293.22</w:t>
            </w:r>
          </w:p>
        </w:tc>
        <w:tc>
          <w:tcPr/>
          <w:p>
            <w:pPr>
              <w:pStyle w:val="Compact"/>
            </w:pPr>
            <w:r>
              <w:t xml:space="preserve">-28.4%</w:t>
            </w:r>
          </w:p>
        </w:tc>
      </w:tr>
      <w:tr>
        <w:tc>
          <w:tcPr/>
          <w:p>
            <w:pPr>
              <w:pStyle w:val="Compact"/>
            </w:pPr>
            <w:r>
              <w:t xml:space="preserve">2Q</w:t>
            </w:r>
          </w:p>
        </w:tc>
        <w:tc>
          <w:tcPr/>
          <w:p>
            <w:pPr>
              <w:pStyle w:val="Compact"/>
            </w:pPr>
            <w:r>
              <w:t xml:space="preserve">Bull</w:t>
            </w:r>
          </w:p>
        </w:tc>
        <w:tc>
          <w:tcPr/>
          <w:p>
            <w:pPr>
              <w:pStyle w:val="Compact"/>
            </w:pPr>
            <w:r>
              <w:t xml:space="preserve">$484.63</w:t>
            </w:r>
          </w:p>
        </w:tc>
        <w:tc>
          <w:tcPr/>
          <w:p>
            <w:pPr>
              <w:pStyle w:val="Compact"/>
            </w:pPr>
            <w:r>
              <w:t xml:space="preserve">18.4%</w:t>
            </w:r>
          </w:p>
        </w:tc>
      </w:tr>
      <w:tr>
        <w:tc>
          <w:tcPr/>
          <w:p>
            <w:pPr>
              <w:pStyle w:val="Compact"/>
            </w:pPr>
            <w:r>
              <w:t xml:space="preserve">4Q</w:t>
            </w:r>
          </w:p>
        </w:tc>
        <w:tc>
          <w:tcPr/>
          <w:p>
            <w:pPr>
              <w:pStyle w:val="Compact"/>
            </w:pPr>
            <w:r>
              <w:t xml:space="preserve">Bear</w:t>
            </w:r>
          </w:p>
        </w:tc>
        <w:tc>
          <w:tcPr/>
          <w:p>
            <w:pPr>
              <w:pStyle w:val="Compact"/>
            </w:pPr>
            <w:r>
              <w:t xml:space="preserve">$135.93</w:t>
            </w:r>
          </w:p>
        </w:tc>
        <w:tc>
          <w:tcPr/>
          <w:p>
            <w:pPr>
              <w:pStyle w:val="Compact"/>
            </w:pPr>
            <w:r>
              <w:t xml:space="preserve">-66.8%</w:t>
            </w:r>
          </w:p>
        </w:tc>
      </w:tr>
      <w:tr>
        <w:tc>
          <w:tcPr/>
          <w:p>
            <w:pPr>
              <w:pStyle w:val="Compact"/>
            </w:pPr>
            <w:r>
              <w:t xml:space="preserve">4Q</w:t>
            </w:r>
          </w:p>
        </w:tc>
        <w:tc>
          <w:tcPr/>
          <w:p>
            <w:pPr>
              <w:pStyle w:val="Compact"/>
            </w:pPr>
            <w:r>
              <w:t xml:space="preserve">Base</w:t>
            </w:r>
          </w:p>
        </w:tc>
        <w:tc>
          <w:tcPr/>
          <w:p>
            <w:pPr>
              <w:pStyle w:val="Compact"/>
            </w:pPr>
            <w:r>
              <w:t xml:space="preserve">$330.91</w:t>
            </w:r>
          </w:p>
        </w:tc>
        <w:tc>
          <w:tcPr/>
          <w:p>
            <w:pPr>
              <w:pStyle w:val="Compact"/>
            </w:pPr>
            <w:r>
              <w:t xml:space="preserve">-19.2%</w:t>
            </w:r>
          </w:p>
        </w:tc>
      </w:tr>
      <w:tr>
        <w:tc>
          <w:tcPr/>
          <w:p>
            <w:pPr>
              <w:pStyle w:val="Compact"/>
            </w:pPr>
            <w:r>
              <w:t xml:space="preserve">4Q</w:t>
            </w:r>
          </w:p>
        </w:tc>
        <w:tc>
          <w:tcPr/>
          <w:p>
            <w:pPr>
              <w:pStyle w:val="Compact"/>
            </w:pPr>
            <w:r>
              <w:t xml:space="preserve">Bull</w:t>
            </w:r>
          </w:p>
        </w:tc>
        <w:tc>
          <w:tcPr/>
          <w:p>
            <w:pPr>
              <w:pStyle w:val="Compact"/>
            </w:pPr>
            <w:r>
              <w:t xml:space="preserve">$578.00</w:t>
            </w:r>
          </w:p>
        </w:tc>
        <w:tc>
          <w:tcPr/>
          <w:p>
            <w:pPr>
              <w:pStyle w:val="Compact"/>
            </w:pPr>
            <w:r>
              <w:t xml:space="preserve">41.2%</w:t>
            </w:r>
          </w:p>
        </w:tc>
      </w:tr>
      <w:tr>
        <w:tc>
          <w:tcPr/>
          <w:p>
            <w:pPr>
              <w:pStyle w:val="Compact"/>
            </w:pPr>
            <w:r>
              <w:t xml:space="preserve">6Q</w:t>
            </w:r>
          </w:p>
        </w:tc>
        <w:tc>
          <w:tcPr/>
          <w:p>
            <w:pPr>
              <w:pStyle w:val="Compact"/>
            </w:pPr>
            <w:r>
              <w:t xml:space="preserve">Bear</w:t>
            </w:r>
          </w:p>
        </w:tc>
        <w:tc>
          <w:tcPr/>
          <w:p>
            <w:pPr>
              <w:pStyle w:val="Compact"/>
            </w:pPr>
            <w:r>
              <w:t xml:space="preserve">$139.12</w:t>
            </w:r>
          </w:p>
        </w:tc>
        <w:tc>
          <w:tcPr/>
          <w:p>
            <w:pPr>
              <w:pStyle w:val="Compact"/>
            </w:pPr>
            <w:r>
              <w:t xml:space="preserve">-66.0%</w:t>
            </w:r>
          </w:p>
        </w:tc>
      </w:tr>
      <w:tr>
        <w:tc>
          <w:tcPr/>
          <w:p>
            <w:pPr>
              <w:pStyle w:val="Compact"/>
            </w:pPr>
            <w:r>
              <w:t xml:space="preserve">6Q</w:t>
            </w:r>
          </w:p>
        </w:tc>
        <w:tc>
          <w:tcPr/>
          <w:p>
            <w:pPr>
              <w:pStyle w:val="Compact"/>
            </w:pPr>
            <w:r>
              <w:t xml:space="preserve">Base</w:t>
            </w:r>
          </w:p>
        </w:tc>
        <w:tc>
          <w:tcPr/>
          <w:p>
            <w:pPr>
              <w:pStyle w:val="Compact"/>
            </w:pPr>
            <w:r>
              <w:t xml:space="preserve">$373.14</w:t>
            </w:r>
          </w:p>
        </w:tc>
        <w:tc>
          <w:tcPr/>
          <w:p>
            <w:pPr>
              <w:pStyle w:val="Compact"/>
            </w:pPr>
            <w:r>
              <w:t xml:space="preserve">-8.8%</w:t>
            </w:r>
          </w:p>
        </w:tc>
      </w:tr>
      <w:tr>
        <w:tc>
          <w:tcPr/>
          <w:p>
            <w:pPr>
              <w:pStyle w:val="Compact"/>
            </w:pPr>
            <w:r>
              <w:t xml:space="preserve">6Q</w:t>
            </w:r>
          </w:p>
        </w:tc>
        <w:tc>
          <w:tcPr/>
          <w:p>
            <w:pPr>
              <w:pStyle w:val="Compact"/>
            </w:pPr>
            <w:r>
              <w:t xml:space="preserve">Bull</w:t>
            </w:r>
          </w:p>
        </w:tc>
        <w:tc>
          <w:tcPr/>
          <w:p>
            <w:pPr>
              <w:pStyle w:val="Compact"/>
            </w:pPr>
            <w:r>
              <w:t xml:space="preserve">$687.99</w:t>
            </w:r>
          </w:p>
        </w:tc>
        <w:tc>
          <w:tcPr/>
          <w:p>
            <w:pPr>
              <w:pStyle w:val="Compact"/>
            </w:pPr>
            <w:r>
              <w:t xml:space="preserve">68.1%</w:t>
            </w:r>
          </w:p>
        </w:tc>
      </w:tr>
      <w:tr>
        <w:tc>
          <w:tcPr/>
          <w:p>
            <w:pPr>
              <w:pStyle w:val="Compact"/>
            </w:pPr>
            <w:r>
              <w:t xml:space="preserve">8Q</w:t>
            </w:r>
          </w:p>
        </w:tc>
        <w:tc>
          <w:tcPr/>
          <w:p>
            <w:pPr>
              <w:pStyle w:val="Compact"/>
            </w:pPr>
            <w:r>
              <w:t xml:space="preserve">Bear</w:t>
            </w:r>
          </w:p>
        </w:tc>
        <w:tc>
          <w:tcPr/>
          <w:p>
            <w:pPr>
              <w:pStyle w:val="Compact"/>
            </w:pPr>
            <w:r>
              <w:t xml:space="preserve">$142.39</w:t>
            </w:r>
          </w:p>
        </w:tc>
        <w:tc>
          <w:tcPr/>
          <w:p>
            <w:pPr>
              <w:pStyle w:val="Compact"/>
            </w:pPr>
            <w:r>
              <w:t xml:space="preserve">-65.2%</w:t>
            </w:r>
          </w:p>
        </w:tc>
      </w:tr>
      <w:tr>
        <w:tc>
          <w:tcPr/>
          <w:p>
            <w:pPr>
              <w:pStyle w:val="Compact"/>
            </w:pPr>
            <w:r>
              <w:t xml:space="preserve">8Q</w:t>
            </w:r>
          </w:p>
        </w:tc>
        <w:tc>
          <w:tcPr/>
          <w:p>
            <w:pPr>
              <w:pStyle w:val="Compact"/>
            </w:pPr>
            <w:r>
              <w:t xml:space="preserve">Base</w:t>
            </w:r>
          </w:p>
        </w:tc>
        <w:tc>
          <w:tcPr/>
          <w:p>
            <w:pPr>
              <w:pStyle w:val="Compact"/>
            </w:pPr>
            <w:r>
              <w:t xml:space="preserve">$420.42</w:t>
            </w:r>
          </w:p>
        </w:tc>
        <w:tc>
          <w:tcPr/>
          <w:p>
            <w:pPr>
              <w:pStyle w:val="Compact"/>
            </w:pPr>
            <w:r>
              <w:t xml:space="preserve">2.7%</w:t>
            </w:r>
          </w:p>
        </w:tc>
      </w:tr>
      <w:tr>
        <w:tc>
          <w:tcPr/>
          <w:p>
            <w:pPr>
              <w:pStyle w:val="Compact"/>
            </w:pPr>
            <w:r>
              <w:t xml:space="preserve">8Q</w:t>
            </w:r>
          </w:p>
        </w:tc>
        <w:tc>
          <w:tcPr/>
          <w:p>
            <w:pPr>
              <w:pStyle w:val="Compact"/>
            </w:pPr>
            <w:r>
              <w:t xml:space="preserve">Bull</w:t>
            </w:r>
          </w:p>
        </w:tc>
        <w:tc>
          <w:tcPr/>
          <w:p>
            <w:pPr>
              <w:pStyle w:val="Compact"/>
            </w:pPr>
            <w:r>
              <w:t xml:space="preserve">$817.40</w:t>
            </w:r>
          </w:p>
        </w:tc>
        <w:tc>
          <w:tcPr/>
          <w:p>
            <w:pPr>
              <w:pStyle w:val="Compact"/>
            </w:pPr>
            <w:r>
              <w:t xml:space="preserve">99.7%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32.9x</w:t>
            </w:r>
          </w:p>
        </w:tc>
      </w:tr>
      <w:tr>
        <w:tc>
          <w:tcPr/>
          <w:p>
            <w:pPr>
              <w:pStyle w:val="Compact"/>
            </w:pPr>
            <w:r>
              <w:t xml:space="preserve">4Q</w:t>
            </w:r>
          </w:p>
        </w:tc>
        <w:tc>
          <w:tcPr/>
          <w:p>
            <w:pPr>
              <w:pStyle w:val="Compact"/>
            </w:pPr>
            <w:r>
              <w:t xml:space="preserve">27.4x</w:t>
            </w:r>
          </w:p>
        </w:tc>
      </w:tr>
      <w:tr>
        <w:tc>
          <w:tcPr/>
          <w:p>
            <w:pPr>
              <w:pStyle w:val="Compact"/>
            </w:pPr>
            <w:r>
              <w:t xml:space="preserve">6Q</w:t>
            </w:r>
          </w:p>
        </w:tc>
        <w:tc>
          <w:tcPr/>
          <w:p>
            <w:pPr>
              <w:pStyle w:val="Compact"/>
            </w:pPr>
            <w:r>
              <w:t xml:space="preserve">22.8x</w:t>
            </w:r>
          </w:p>
        </w:tc>
      </w:tr>
      <w:tr>
        <w:tc>
          <w:tcPr/>
          <w:p>
            <w:pPr>
              <w:pStyle w:val="Compact"/>
            </w:pPr>
            <w:r>
              <w:t xml:space="preserve">8Q</w:t>
            </w:r>
          </w:p>
        </w:tc>
        <w:tc>
          <w:tcPr/>
          <w:p>
            <w:pPr>
              <w:pStyle w:val="Compact"/>
            </w:pPr>
            <w:r>
              <w:t xml:space="preserve">19.0x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$121.35</w:t>
            </w:r>
          </w:p>
        </w:tc>
        <w:tc>
          <w:tcPr/>
          <w:p>
            <w:pPr>
              <w:pStyle w:val="Compact"/>
            </w:pPr>
            <w:r>
              <w:t xml:space="preserve">-70.4%</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$320.52</w:t>
            </w:r>
          </w:p>
        </w:tc>
        <w:tc>
          <w:tcPr/>
          <w:p>
            <w:pPr>
              <w:pStyle w:val="Compact"/>
            </w:pPr>
            <w:r>
              <w:t xml:space="preserve">-21.7%</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$589.57</w:t>
            </w:r>
          </w:p>
        </w:tc>
        <w:tc>
          <w:tcPr/>
          <w:p>
            <w:pPr>
              <w:pStyle w:val="Compact"/>
            </w:pPr>
            <w:r>
              <w:t xml:space="preserve">44.0%</w:t>
            </w:r>
          </w:p>
        </w:tc>
      </w:tr>
    </w:tbl>
    <w:p>
      <w:pPr>
        <w:pStyle w:val="BodyText"/>
      </w:pPr>
      <w:r>
        <w:t xml:space="preserve">Probability-weighted value</w:t>
      </w:r>
      <w:r>
        <w:t xml:space="preserve"> </w:t>
      </w:r>
      <w:r>
        <w:rPr>
          <w:b/>
          <w:bCs/>
        </w:rPr>
        <w:t xml:space="preserve">$337.99</w:t>
      </w:r>
      <w:r>
        <w:t xml:space="preserve"> </w:t>
      </w:r>
      <w:r>
        <w:t xml:space="preserve">(-17.4%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252.5 bn USD; terminal share 50.7%.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42.2%</w:t>
      </w:r>
      <w:r>
        <w:t xml:space="preserve"> </w:t>
      </w:r>
      <w:r>
        <w:t xml:space="preserve">vs consensus FY+1 35.2%.</w:t>
      </w:r>
    </w:p>
    <w:p>
      <w:pPr>
        <w:pStyle w:val="Compact"/>
        <w:numPr>
          <w:ilvl w:val="0"/>
          <w:numId w:val="1013"/>
        </w:numPr>
      </w:pPr>
      <w:r>
        <w:t xml:space="preserve">WACC (CAPM) = rf 5.1% + β 1.59 × ERP 5.0% = 13.1%.</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2026-10-16T23:58:20Z</dcterms:created>
  <dcterms:modified xsi:type="dcterms:W3CDTF">2026-10-16T23:58:20Z</dcterms:modified>
</cp:coreProperties>
</file>

<file path=docProps/custom.xml><?xml version="1.0" encoding="utf-8"?>
<Properties xmlns="http://schemas.openxmlformats.org/officeDocument/2006/custom-properties" xmlns:vt="http://schemas.openxmlformats.org/officeDocument/2006/docPropsVTypes"/>
</file>