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e229ac4ae743abb222948a0ebd92ecaedcb1fde"/>
    <w:p>
      <w:pPr>
        <w:pStyle w:val="Heading1"/>
      </w:pPr>
      <w:r>
        <w:t xml:space="preserve">AMD Advanced Micro Devices, Inc. — </w:t>
      </w:r>
      <w:r>
        <w:rPr>
          <w:rFonts w:hint="eastAsia"/>
        </w:rPr>
        <w:t xml:space="preserve">个股深度研究</w:t>
      </w:r>
      <w:r>
        <w:t xml:space="preserve"> </w:t>
      </w:r>
      <w:r>
        <w:rPr>
          <w:rFonts w:hint="eastAsia"/>
        </w:rPr>
        <w:t xml:space="preserve">(专业中文版)</w:t>
      </w:r>
      <w:r>
        <w:t xml:space="preserve"> v20261017-0755</w:t>
      </w:r>
    </w:p>
    <w:p>
      <w:pPr>
        <w:pStyle w:val="BlockText"/>
      </w:pPr>
      <w:r>
        <w:rPr>
          <w:rFonts w:hint="eastAsia"/>
        </w:rPr>
        <w:t xml:space="preserve">数据截至</w:t>
      </w:r>
      <w:r>
        <w:t xml:space="preserve"> 2026-10-17 07:55 </w:t>
      </w:r>
      <w:r>
        <w:rPr>
          <w:rFonts w:hint="eastAsia"/>
        </w:rPr>
        <w:t xml:space="preserve">SGT｜价格</w:t>
      </w:r>
      <w:r>
        <w:t xml:space="preserve"> </w:t>
      </w:r>
      <w:r>
        <w:rPr>
          <w:rFonts w:hint="eastAsia"/>
        </w:rPr>
        <w:t xml:space="preserve">$528.75｜市值</w:t>
      </w:r>
      <w:r>
        <w:t xml:space="preserve"> 863.2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AMD在服务器CPU持续夺份额，并以MI400/Helios机架争夺AI</w:t>
      </w:r>
      <w:r>
        <w:t xml:space="preserve"> </w:t>
      </w:r>
      <w:r>
        <w:rPr>
          <w:rFonts w:hint="eastAsia"/>
        </w:rPr>
        <w:t xml:space="preserve">GPU第二供应商地位；OpenAI合作是验证点，执行风险高。</w:t>
      </w:r>
    </w:p>
    <w:p>
      <w:pPr>
        <w:pStyle w:val="Compact"/>
        <w:numPr>
          <w:ilvl w:val="0"/>
          <w:numId w:val="1001"/>
        </w:numPr>
      </w:pPr>
      <w:r>
        <w:rPr>
          <w:rFonts w:hint="eastAsia"/>
          <w:b/>
          <w:bCs/>
        </w:rPr>
        <w:t xml:space="preserve">多头驱动</w:t>
      </w:r>
      <w:r>
        <w:t xml:space="preserve">: MI450 ramps on time with multiple gigawatt </w:t>
      </w:r>
      <w:r>
        <w:rPr>
          <w:rFonts w:hint="eastAsia"/>
        </w:rPr>
        <w:t xml:space="preserve">customers｜MI450按期多客户放量</w:t>
      </w:r>
    </w:p>
    <w:p>
      <w:pPr>
        <w:pStyle w:val="Compact"/>
        <w:numPr>
          <w:ilvl w:val="0"/>
          <w:numId w:val="1001"/>
        </w:numPr>
      </w:pPr>
      <w:r>
        <w:rPr>
          <w:rFonts w:hint="eastAsia"/>
          <w:b/>
          <w:bCs/>
        </w:rPr>
        <w:t xml:space="preserve">空头驱动</w:t>
      </w:r>
      <w:r>
        <w:t xml:space="preserve">: Delays; NVDA price aggression; client PC slowdown from memory </w:t>
      </w:r>
      <w:r>
        <w:rPr>
          <w:rFonts w:hint="eastAsia"/>
        </w:rPr>
        <w:t xml:space="preserve">costs｜延期；NVDA压价；存储涨价拖累PC</w:t>
      </w:r>
    </w:p>
    <w:p>
      <w:pPr>
        <w:pStyle w:val="Compact"/>
        <w:numPr>
          <w:ilvl w:val="0"/>
          <w:numId w:val="1001"/>
        </w:numPr>
      </w:pPr>
      <w:r>
        <w:rPr>
          <w:rFonts w:hint="eastAsia"/>
          <w:b/>
          <w:bCs/>
        </w:rPr>
        <w:t xml:space="preserve">证伪条件</w:t>
      </w:r>
      <w:r>
        <w:rPr>
          <w:b/>
          <w:bCs/>
        </w:rPr>
        <w:t xml:space="preserve"> Falsifiers</w:t>
      </w:r>
      <w:r>
        <w:t xml:space="preserve">: DC GPU revenue below guide; Helios slips past </w:t>
      </w:r>
      <w:r>
        <w:rPr>
          <w:rFonts w:hint="eastAsia"/>
        </w:rPr>
        <w:t xml:space="preserve">2H26｜DC</w:t>
      </w:r>
      <w:r>
        <w:t xml:space="preserve"> </w:t>
      </w:r>
      <w:r>
        <w:rPr>
          <w:rFonts w:hint="eastAsia"/>
        </w:rPr>
        <w:t xml:space="preserve">GPU收入低于指引；Helios延后</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CPU + GPU AI accelerators CPU+AI GPU</w:t>
      </w:r>
    </w:p>
    <w:p>
      <w:pPr>
        <w:pStyle w:val="Compact"/>
        <w:numPr>
          <w:ilvl w:val="0"/>
          <w:numId w:val="1002"/>
        </w:numPr>
      </w:pPr>
      <w:r>
        <w:rPr>
          <w:rFonts w:hint="eastAsia"/>
        </w:rPr>
        <w:t xml:space="preserve">业务分部</w:t>
      </w:r>
      <w:r>
        <w:t xml:space="preserve"> Segments: Data Center (EPYC+Instinct) </w:t>
      </w:r>
      <w:r>
        <w:rPr>
          <w:rFonts w:hint="eastAsia"/>
        </w:rPr>
        <w:t xml:space="preserve">数据中心；Client</w:t>
      </w:r>
      <w:r>
        <w:t xml:space="preserve"> </w:t>
      </w:r>
      <w:r>
        <w:rPr>
          <w:rFonts w:hint="eastAsia"/>
        </w:rPr>
        <w:t xml:space="preserve">客户端；Gaming</w:t>
      </w:r>
      <w:r>
        <w:t xml:space="preserve"> </w:t>
      </w:r>
      <w:r>
        <w:rPr>
          <w:rFonts w:hint="eastAsia"/>
        </w:rPr>
        <w:t xml:space="preserve">游戏；Embedded</w:t>
      </w:r>
      <w:r>
        <w:t xml:space="preserve"> </w:t>
      </w:r>
      <w:r>
        <w:rPr>
          <w:rFonts w:hint="eastAsia"/>
        </w:rPr>
        <w:t xml:space="preserve">嵌入式</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Advanced Micro Devices, Inc. operates as a semiconductor company internationally. It operates in three segments: Data Center, Client and Gaming, and Embedded. The company offers artificial intelligence (AI) accelerators, microprocessors, and graphics processing units (GPUs) as standalone devices or as incorporated into accelerated processing units, chipsets, and data center and professional GPUs; and embedded processors and semi-custom system-on-chip (SoC) products, microprocessor and SoC development services and technology, data processing units, field programmable gate arrays (FPGA), system on modules, AI network interface cards, and adaptive SoC products. It provides processors under the AMD Ryzen, AMD Ryzen AI, AMD Ryzen PRO, AMD Ryzen Threadripper, AMD Ryzen Threadripper PRO, AMD Athlon, and AMD PRO A-Series brands; graphics under the AMD Radeon graphics and AMD Embedded Radeon grap</w:t>
      </w:r>
    </w:p>
    <w:p>
      <w:pPr>
        <w:pStyle w:val="Compact"/>
        <w:numPr>
          <w:ilvl w:val="0"/>
          <w:numId w:val="1002"/>
        </w:numPr>
      </w:pPr>
      <w:r>
        <w:rPr>
          <w:rFonts w:hint="eastAsia"/>
        </w:rPr>
        <w:t xml:space="preserve">主要客户:</w:t>
      </w:r>
      <w:r>
        <w:t xml:space="preserve"> Hyperscalers, OpenAI (MI450 deal), Oracle, Meta, PC </w:t>
      </w:r>
      <w:r>
        <w:rPr>
          <w:rFonts w:hint="eastAsia"/>
        </w:rPr>
        <w:t xml:space="preserve">OEMs｜云厂、OpenAI、甲骨文、Meta、PC厂</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TSMC (N3/N2, CoWoS), HBM vendors, ZT Systems (rack </w:t>
      </w:r>
      <w:r>
        <w:rPr>
          <w:rFonts w:hint="eastAsia"/>
        </w:rPr>
        <w:t xml:space="preserve">design)｜台积电、HBM、ZT</w:t>
      </w:r>
      <w:r>
        <w:t xml:space="preserve"> Systems</w:t>
      </w:r>
    </w:p>
    <w:p>
      <w:pPr>
        <w:pStyle w:val="Compact"/>
        <w:numPr>
          <w:ilvl w:val="0"/>
          <w:numId w:val="1003"/>
        </w:numPr>
      </w:pPr>
      <w:r>
        <w:rPr>
          <w:rFonts w:hint="eastAsia"/>
        </w:rPr>
        <w:t xml:space="preserve">竞争者</w:t>
      </w:r>
      <w:r>
        <w:t xml:space="preserve"> </w:t>
      </w:r>
      <w:r>
        <w:rPr>
          <w:rFonts w:hint="eastAsia"/>
        </w:rPr>
        <w:t xml:space="preserve">(含业外):</w:t>
      </w:r>
      <w:r>
        <w:t xml:space="preserve"> NVDA, Intel, ARM-based CPUs, custom </w:t>
      </w:r>
      <w:r>
        <w:rPr>
          <w:rFonts w:hint="eastAsia"/>
        </w:rPr>
        <w:t xml:space="preserve">ASICs｜NVDA、英特尔、ARM</w:t>
      </w:r>
      <w:r>
        <w:t xml:space="preserve"> CPU、ASIC</w:t>
      </w:r>
    </w:p>
    <w:p>
      <w:pPr>
        <w:pStyle w:val="Compact"/>
        <w:numPr>
          <w:ilvl w:val="0"/>
          <w:numId w:val="1003"/>
        </w:numPr>
      </w:pPr>
      <w:r>
        <w:rPr>
          <w:rFonts w:hint="eastAsia"/>
        </w:rPr>
        <w:t xml:space="preserve">瓶颈/监管:</w:t>
      </w:r>
      <w:r>
        <w:t xml:space="preserve"> Rack-scale (Helios) execution, ROCm software maturity, CoWoS </w:t>
      </w:r>
      <w:r>
        <w:rPr>
          <w:rFonts w:hint="eastAsia"/>
        </w:rPr>
        <w:t xml:space="preserve">supply｜机架级Helios执行、ROCm软件、CoWoS</w:t>
      </w:r>
    </w:p>
    <w:p>
      <w:pPr>
        <w:pStyle w:val="Compact"/>
        <w:numPr>
          <w:ilvl w:val="0"/>
          <w:numId w:val="1003"/>
        </w:numPr>
      </w:pPr>
      <w:r>
        <w:rPr>
          <w:rFonts w:hint="eastAsia"/>
        </w:rPr>
        <w:t xml:space="preserve">关键KPI:</w:t>
      </w:r>
      <w:r>
        <w:t xml:space="preserve"> DC revenue, Instinct revenue, server CPU share, </w:t>
      </w:r>
      <w:r>
        <w:rPr>
          <w:rFonts w:hint="eastAsia"/>
        </w:rPr>
        <w:t xml:space="preserve">GM%｜DC收入、Instinct收入、服务器份额、毛利率</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11.5 bn USD</w:t>
            </w:r>
          </w:p>
        </w:tc>
        <w:tc>
          <w:tcPr/>
          <w:p>
            <w:pPr>
              <w:pStyle w:val="Compact"/>
            </w:pPr>
            <w:r>
              <w:t xml:space="preserve">6.2 bn USD</w:t>
            </w:r>
          </w:p>
        </w:tc>
        <w:tc>
          <w:tcPr/>
          <w:p>
            <w:pPr>
              <w:pStyle w:val="Compact"/>
            </w:pPr>
            <w:r>
              <w:t xml:space="preserve">2.0 bn USD</w:t>
            </w:r>
          </w:p>
        </w:tc>
        <w:tc>
          <w:tcPr/>
          <w:p>
            <w:pPr>
              <w:pStyle w:val="Compact"/>
            </w:pPr>
            <w:r>
              <w:t xml:space="preserve">2.3 bn USD</w:t>
            </w:r>
          </w:p>
        </w:tc>
        <w:tc>
          <w:tcPr/>
          <w:p>
            <w:pPr>
              <w:pStyle w:val="Compact"/>
            </w:pPr>
            <w:r>
              <w:t xml:space="preserve">1.6 bn USD</w:t>
            </w:r>
          </w:p>
        </w:tc>
        <w:tc>
          <w:tcPr/>
          <w:p>
            <w:pPr>
              <w:pStyle w:val="Compact"/>
            </w:pPr>
            <w:r>
              <w:t xml:space="preserve">17.3%</w:t>
            </w:r>
          </w:p>
        </w:tc>
      </w:tr>
      <w:tr>
        <w:tc>
          <w:tcPr/>
          <w:p>
            <w:pPr>
              <w:pStyle w:val="Compact"/>
            </w:pPr>
            <w:r>
              <w:t xml:space="preserve">2026-03-31</w:t>
            </w:r>
          </w:p>
        </w:tc>
        <w:tc>
          <w:tcPr/>
          <w:p>
            <w:pPr>
              <w:pStyle w:val="Compact"/>
            </w:pPr>
            <w:r>
              <w:t xml:space="preserve">10.3 bn USD</w:t>
            </w:r>
          </w:p>
        </w:tc>
        <w:tc>
          <w:tcPr/>
          <w:p>
            <w:pPr>
              <w:pStyle w:val="Compact"/>
            </w:pPr>
            <w:r>
              <w:t xml:space="preserve">5.4 bn USD</w:t>
            </w:r>
          </w:p>
        </w:tc>
        <w:tc>
          <w:tcPr/>
          <w:p>
            <w:pPr>
              <w:pStyle w:val="Compact"/>
            </w:pPr>
            <w:r>
              <w:t xml:space="preserve">1.5 bn USD</w:t>
            </w:r>
          </w:p>
        </w:tc>
        <w:tc>
          <w:tcPr/>
          <w:p>
            <w:pPr>
              <w:pStyle w:val="Compact"/>
            </w:pPr>
            <w:r>
              <w:t xml:space="preserve">1.4 bn USD</w:t>
            </w:r>
          </w:p>
        </w:tc>
        <w:tc>
          <w:tcPr/>
          <w:p>
            <w:pPr>
              <w:pStyle w:val="Compact"/>
            </w:pPr>
            <w:r>
              <w:t xml:space="preserve">2.6 bn USD</w:t>
            </w:r>
          </w:p>
        </w:tc>
        <w:tc>
          <w:tcPr/>
          <w:p>
            <w:pPr>
              <w:pStyle w:val="Compact"/>
            </w:pPr>
            <w:r>
              <w:t xml:space="preserve">14.4%</w:t>
            </w:r>
          </w:p>
        </w:tc>
      </w:tr>
      <w:tr>
        <w:tc>
          <w:tcPr/>
          <w:p>
            <w:pPr>
              <w:pStyle w:val="Compact"/>
            </w:pPr>
            <w:r>
              <w:t xml:space="preserve">2025-12-31</w:t>
            </w:r>
          </w:p>
        </w:tc>
        <w:tc>
          <w:tcPr/>
          <w:p>
            <w:pPr>
              <w:pStyle w:val="Compact"/>
            </w:pPr>
            <w:r>
              <w:t xml:space="preserve">10.3 bn USD</w:t>
            </w:r>
          </w:p>
        </w:tc>
        <w:tc>
          <w:tcPr/>
          <w:p>
            <w:pPr>
              <w:pStyle w:val="Compact"/>
            </w:pPr>
            <w:r>
              <w:t xml:space="preserve">5.6 bn USD</w:t>
            </w:r>
          </w:p>
        </w:tc>
        <w:tc>
          <w:tcPr/>
          <w:p>
            <w:pPr>
              <w:pStyle w:val="Compact"/>
            </w:pPr>
            <w:r>
              <w:t xml:space="preserve">1.8 bn USD</w:t>
            </w:r>
          </w:p>
        </w:tc>
        <w:tc>
          <w:tcPr/>
          <w:p>
            <w:pPr>
              <w:pStyle w:val="Compact"/>
            </w:pPr>
            <w:r>
              <w:t xml:space="preserve">1.5 bn USD</w:t>
            </w:r>
          </w:p>
        </w:tc>
        <w:tc>
          <w:tcPr/>
          <w:p>
            <w:pPr>
              <w:pStyle w:val="Compact"/>
            </w:pPr>
            <w:r>
              <w:t xml:space="preserve">2.4 bn USD</w:t>
            </w:r>
          </w:p>
        </w:tc>
        <w:tc>
          <w:tcPr/>
          <w:p>
            <w:pPr>
              <w:pStyle w:val="Compact"/>
            </w:pPr>
            <w:r>
              <w:t xml:space="preserve">17.1%</w:t>
            </w:r>
          </w:p>
        </w:tc>
      </w:tr>
      <w:tr>
        <w:tc>
          <w:tcPr/>
          <w:p>
            <w:pPr>
              <w:pStyle w:val="Compact"/>
            </w:pPr>
            <w:r>
              <w:t xml:space="preserve">2025-09-30</w:t>
            </w:r>
          </w:p>
        </w:tc>
        <w:tc>
          <w:tcPr/>
          <w:p>
            <w:pPr>
              <w:pStyle w:val="Compact"/>
            </w:pPr>
            <w:r>
              <w:t xml:space="preserve">9.2 bn USD</w:t>
            </w:r>
          </w:p>
        </w:tc>
        <w:tc>
          <w:tcPr/>
          <w:p>
            <w:pPr>
              <w:pStyle w:val="Compact"/>
            </w:pPr>
            <w:r>
              <w:t xml:space="preserve">4.8 bn USD</w:t>
            </w:r>
          </w:p>
        </w:tc>
        <w:tc>
          <w:tcPr/>
          <w:p>
            <w:pPr>
              <w:pStyle w:val="Compact"/>
            </w:pPr>
            <w:r>
              <w:t xml:space="preserve">1.3 bn USD</w:t>
            </w:r>
          </w:p>
        </w:tc>
        <w:tc>
          <w:tcPr/>
          <w:p>
            <w:pPr>
              <w:pStyle w:val="Compact"/>
            </w:pPr>
            <w:r>
              <w:t xml:space="preserve">1.2 bn USD</w:t>
            </w:r>
          </w:p>
        </w:tc>
        <w:tc>
          <w:tcPr/>
          <w:p>
            <w:pPr>
              <w:pStyle w:val="Compact"/>
            </w:pPr>
            <w:r>
              <w:t xml:space="preserve">1.9 bn USD</w:t>
            </w:r>
          </w:p>
        </w:tc>
        <w:tc>
          <w:tcPr/>
          <w:p>
            <w:pPr>
              <w:pStyle w:val="Compact"/>
            </w:pPr>
            <w:r>
              <w:t xml:space="preserve">13.7%</w:t>
            </w:r>
          </w:p>
        </w:tc>
      </w:tr>
      <w:tr>
        <w:tc>
          <w:tcPr/>
          <w:p>
            <w:pPr>
              <w:pStyle w:val="Compact"/>
            </w:pPr>
            <w:r>
              <w:t xml:space="preserve">2025-06-30</w:t>
            </w:r>
          </w:p>
        </w:tc>
        <w:tc>
          <w:tcPr/>
          <w:p>
            <w:pPr>
              <w:pStyle w:val="Compact"/>
            </w:pPr>
            <w:r>
              <w:t xml:space="preserve">7.7 bn USD</w:t>
            </w:r>
          </w:p>
        </w:tc>
        <w:tc>
          <w:tcPr/>
          <w:p>
            <w:pPr>
              <w:pStyle w:val="Compact"/>
            </w:pPr>
            <w:r>
              <w:t xml:space="preserve">3.1 bn USD</w:t>
            </w:r>
          </w:p>
        </w:tc>
        <w:tc>
          <w:tcPr/>
          <w:p>
            <w:pPr>
              <w:pStyle w:val="Compact"/>
            </w:pPr>
            <w:r>
              <w:t xml:space="preserve">-0.1 bn USD</w:t>
            </w:r>
          </w:p>
        </w:tc>
        <w:tc>
          <w:tcPr/>
          <w:p>
            <w:pPr>
              <w:pStyle w:val="Compact"/>
            </w:pPr>
            <w:r>
              <w:t xml:space="preserve">0.9 bn USD</w:t>
            </w:r>
          </w:p>
        </w:tc>
        <w:tc>
          <w:tcPr/>
          <w:p>
            <w:pPr>
              <w:pStyle w:val="Compact"/>
            </w:pPr>
            <w:r>
              <w:t xml:space="preserve">1.7 bn USD</w:t>
            </w:r>
          </w:p>
        </w:tc>
        <w:tc>
          <w:tcPr/>
          <w:p>
            <w:pPr>
              <w:pStyle w:val="Compact"/>
            </w:pPr>
            <w:r>
              <w:t xml:space="preserve">-1.7%</w:t>
            </w:r>
          </w:p>
        </w:tc>
      </w:tr>
    </w:tbl>
    <w:p>
      <w:pPr>
        <w:pStyle w:val="BodyText"/>
      </w:pPr>
      <w:r>
        <w:rPr>
          <w:rFonts w:hint="eastAsia"/>
        </w:rPr>
        <w:t xml:space="preserve">资产负债:</w:t>
      </w:r>
      <w:r>
        <w:t xml:space="preserve"> </w:t>
      </w:r>
      <w:r>
        <w:rPr>
          <w:rFonts w:hint="eastAsia"/>
        </w:rPr>
        <w:t xml:space="preserve">现金</w:t>
      </w:r>
      <w:r>
        <w:t xml:space="preserve"> 13.1 bn </w:t>
      </w:r>
      <w:r>
        <w:rPr>
          <w:rFonts w:hint="eastAsia"/>
        </w:rPr>
        <w:t xml:space="preserve">USD；总负债</w:t>
      </w:r>
      <w:r>
        <w:t xml:space="preserve"> 4.3 bn </w:t>
      </w:r>
      <w:r>
        <w:rPr>
          <w:rFonts w:hint="eastAsia"/>
        </w:rPr>
        <w:t xml:space="preserve">USD；净现金</w:t>
      </w:r>
      <w:r>
        <w:t xml:space="preserve"> 8.8 bn USD。TTM FCF 8.4 bn </w:t>
      </w:r>
      <w:r>
        <w:rPr>
          <w:rFonts w:hint="eastAsia"/>
        </w:rPr>
        <w:t xml:space="preserve">USD（FCF率</w:t>
      </w:r>
      <w:r>
        <w:t xml:space="preserve"> </w:t>
      </w:r>
      <w:r>
        <w:rPr>
          <w:rFonts w:hint="eastAsia"/>
        </w:rPr>
        <w:t xml:space="preserve">20.3%）。</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1.2</w:t>
            </w:r>
          </w:p>
        </w:tc>
        <w:tc>
          <w:tcPr/>
          <w:p>
            <w:pPr>
              <w:pStyle w:val="Compact"/>
            </w:pPr>
            <w:r>
              <w:t xml:space="preserve">1.171</w:t>
            </w:r>
          </w:p>
        </w:tc>
        <w:tc>
          <w:tcPr/>
          <w:p>
            <w:pPr>
              <w:pStyle w:val="Compact"/>
            </w:pPr>
            <w:r>
              <w:t xml:space="preserve">0.0248</w:t>
            </w:r>
          </w:p>
        </w:tc>
      </w:tr>
      <w:tr>
        <w:tc>
          <w:tcPr/>
          <w:p>
            <w:pPr>
              <w:pStyle w:val="Compact"/>
            </w:pPr>
            <w:r>
              <w:t xml:space="preserve">2025-12-31</w:t>
            </w:r>
          </w:p>
        </w:tc>
        <w:tc>
          <w:tcPr/>
          <w:p>
            <w:pPr>
              <w:pStyle w:val="Compact"/>
            </w:pPr>
            <w:r>
              <w:t xml:space="preserve">1.53</w:t>
            </w:r>
          </w:p>
        </w:tc>
        <w:tc>
          <w:tcPr/>
          <w:p>
            <w:pPr>
              <w:pStyle w:val="Compact"/>
            </w:pPr>
            <w:r>
              <w:t xml:space="preserve">1.31917</w:t>
            </w:r>
          </w:p>
        </w:tc>
        <w:tc>
          <w:tcPr/>
          <w:p>
            <w:pPr>
              <w:pStyle w:val="Compact"/>
            </w:pPr>
            <w:r>
              <w:t xml:space="preserve">0.1598</w:t>
            </w:r>
          </w:p>
        </w:tc>
      </w:tr>
      <w:tr>
        <w:tc>
          <w:tcPr/>
          <w:p>
            <w:pPr>
              <w:pStyle w:val="Compact"/>
            </w:pPr>
            <w:r>
              <w:t xml:space="preserve">2026-03-31</w:t>
            </w:r>
          </w:p>
        </w:tc>
        <w:tc>
          <w:tcPr/>
          <w:p>
            <w:pPr>
              <w:pStyle w:val="Compact"/>
            </w:pPr>
            <w:r>
              <w:t xml:space="preserve">1.37</w:t>
            </w:r>
          </w:p>
        </w:tc>
        <w:tc>
          <w:tcPr/>
          <w:p>
            <w:pPr>
              <w:pStyle w:val="Compact"/>
            </w:pPr>
            <w:r>
              <w:t xml:space="preserve">1.29468</w:t>
            </w:r>
          </w:p>
        </w:tc>
        <w:tc>
          <w:tcPr/>
          <w:p>
            <w:pPr>
              <w:pStyle w:val="Compact"/>
            </w:pPr>
            <w:r>
              <w:t xml:space="preserve">0.0582</w:t>
            </w:r>
          </w:p>
        </w:tc>
      </w:tr>
      <w:tr>
        <w:tc>
          <w:tcPr/>
          <w:p>
            <w:pPr>
              <w:pStyle w:val="Compact"/>
            </w:pPr>
            <w:r>
              <w:t xml:space="preserve">2026-06-30</w:t>
            </w:r>
          </w:p>
        </w:tc>
        <w:tc>
          <w:tcPr/>
          <w:p>
            <w:pPr>
              <w:pStyle w:val="Compact"/>
            </w:pPr>
            <w:r>
              <w:t xml:space="preserve">1.66</w:t>
            </w:r>
          </w:p>
        </w:tc>
        <w:tc>
          <w:tcPr/>
          <w:p>
            <w:pPr>
              <w:pStyle w:val="Compact"/>
            </w:pPr>
            <w:r>
              <w:t xml:space="preserve">1.60841</w:t>
            </w:r>
          </w:p>
        </w:tc>
        <w:tc>
          <w:tcPr/>
          <w:p>
            <w:pPr>
              <w:pStyle w:val="Compact"/>
            </w:pPr>
            <w:r>
              <w:t xml:space="preserve">0.0321</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2026-11-04</w:t>
      </w:r>
      <w:r>
        <w:rPr>
          <w:rFonts w:hint="eastAsia"/>
        </w:rPr>
        <w:t xml:space="preserve">；本季EPS一致预期</w:t>
      </w:r>
      <w:r>
        <w:t xml:space="preserve"> </w:t>
      </w:r>
      <w:r>
        <w:rPr>
          <w:rFonts w:hint="eastAsia"/>
        </w:rPr>
        <w:t xml:space="preserve">1.93339（40位分析师）；收入一致预期</w:t>
      </w:r>
      <w:r>
        <w:t xml:space="preserve"> 13.1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$120.89</w:t>
            </w:r>
          </w:p>
        </w:tc>
        <w:tc>
          <w:tcPr/>
          <w:p>
            <w:pPr>
              <w:pStyle w:val="Compact"/>
            </w:pPr>
            <w:r>
              <w:t xml:space="preserve">-77.1%</w:t>
            </w:r>
          </w:p>
        </w:tc>
      </w:tr>
      <w:tr>
        <w:tc>
          <w:tcPr/>
          <w:p>
            <w:pPr>
              <w:pStyle w:val="Compact"/>
            </w:pPr>
            <w:r>
              <w:t xml:space="preserve">2Q</w:t>
            </w:r>
          </w:p>
        </w:tc>
        <w:tc>
          <w:tcPr/>
          <w:p>
            <w:pPr>
              <w:pStyle w:val="Compact"/>
            </w:pPr>
            <w:r>
              <w:t xml:space="preserve">Base</w:t>
            </w:r>
          </w:p>
        </w:tc>
        <w:tc>
          <w:tcPr/>
          <w:p>
            <w:pPr>
              <w:pStyle w:val="Compact"/>
            </w:pPr>
            <w:r>
              <w:t xml:space="preserve">$303.91</w:t>
            </w:r>
          </w:p>
        </w:tc>
        <w:tc>
          <w:tcPr/>
          <w:p>
            <w:pPr>
              <w:pStyle w:val="Compact"/>
            </w:pPr>
            <w:r>
              <w:t xml:space="preserve">-42.5%</w:t>
            </w:r>
          </w:p>
        </w:tc>
      </w:tr>
      <w:tr>
        <w:tc>
          <w:tcPr/>
          <w:p>
            <w:pPr>
              <w:pStyle w:val="Compact"/>
            </w:pPr>
            <w:r>
              <w:t xml:space="preserve">2Q</w:t>
            </w:r>
          </w:p>
        </w:tc>
        <w:tc>
          <w:tcPr/>
          <w:p>
            <w:pPr>
              <w:pStyle w:val="Compact"/>
            </w:pPr>
            <w:r>
              <w:t xml:space="preserve">Bull</w:t>
            </w:r>
          </w:p>
        </w:tc>
        <w:tc>
          <w:tcPr/>
          <w:p>
            <w:pPr>
              <w:pStyle w:val="Compact"/>
            </w:pPr>
            <w:r>
              <w:t xml:space="preserve">$533.65</w:t>
            </w:r>
          </w:p>
        </w:tc>
        <w:tc>
          <w:tcPr/>
          <w:p>
            <w:pPr>
              <w:pStyle w:val="Compact"/>
            </w:pPr>
            <w:r>
              <w:t xml:space="preserve">0.9%</w:t>
            </w:r>
          </w:p>
        </w:tc>
      </w:tr>
      <w:tr>
        <w:tc>
          <w:tcPr/>
          <w:p>
            <w:pPr>
              <w:pStyle w:val="Compact"/>
            </w:pPr>
            <w:r>
              <w:t xml:space="preserve">4Q</w:t>
            </w:r>
          </w:p>
        </w:tc>
        <w:tc>
          <w:tcPr/>
          <w:p>
            <w:pPr>
              <w:pStyle w:val="Compact"/>
            </w:pPr>
            <w:r>
              <w:t xml:space="preserve">Bear</w:t>
            </w:r>
          </w:p>
        </w:tc>
        <w:tc>
          <w:tcPr/>
          <w:p>
            <w:pPr>
              <w:pStyle w:val="Compact"/>
            </w:pPr>
            <w:r>
              <w:t xml:space="preserve">$131.62</w:t>
            </w:r>
          </w:p>
        </w:tc>
        <w:tc>
          <w:tcPr/>
          <w:p>
            <w:pPr>
              <w:pStyle w:val="Compact"/>
            </w:pPr>
            <w:r>
              <w:t xml:space="preserve">-75.1%</w:t>
            </w:r>
          </w:p>
        </w:tc>
      </w:tr>
      <w:tr>
        <w:tc>
          <w:tcPr/>
          <w:p>
            <w:pPr>
              <w:pStyle w:val="Compact"/>
            </w:pPr>
            <w:r>
              <w:t xml:space="preserve">4Q</w:t>
            </w:r>
          </w:p>
        </w:tc>
        <w:tc>
          <w:tcPr/>
          <w:p>
            <w:pPr>
              <w:pStyle w:val="Compact"/>
            </w:pPr>
            <w:r>
              <w:t xml:space="preserve">Base</w:t>
            </w:r>
          </w:p>
        </w:tc>
        <w:tc>
          <w:tcPr/>
          <w:p>
            <w:pPr>
              <w:pStyle w:val="Compact"/>
            </w:pPr>
            <w:r>
              <w:t xml:space="preserve">$384.22</w:t>
            </w:r>
          </w:p>
        </w:tc>
        <w:tc>
          <w:tcPr/>
          <w:p>
            <w:pPr>
              <w:pStyle w:val="Compact"/>
            </w:pPr>
            <w:r>
              <w:t xml:space="preserve">-27.3%</w:t>
            </w:r>
          </w:p>
        </w:tc>
      </w:tr>
      <w:tr>
        <w:tc>
          <w:tcPr/>
          <w:p>
            <w:pPr>
              <w:pStyle w:val="Compact"/>
            </w:pPr>
            <w:r>
              <w:t xml:space="preserve">4Q</w:t>
            </w:r>
          </w:p>
        </w:tc>
        <w:tc>
          <w:tcPr/>
          <w:p>
            <w:pPr>
              <w:pStyle w:val="Compact"/>
            </w:pPr>
            <w:r>
              <w:t xml:space="preserve">Bull</w:t>
            </w:r>
          </w:p>
        </w:tc>
        <w:tc>
          <w:tcPr/>
          <w:p>
            <w:pPr>
              <w:pStyle w:val="Compact"/>
            </w:pPr>
            <w:r>
              <w:t xml:space="preserve">$730.05</w:t>
            </w:r>
          </w:p>
        </w:tc>
        <w:tc>
          <w:tcPr/>
          <w:p>
            <w:pPr>
              <w:pStyle w:val="Compact"/>
            </w:pPr>
            <w:r>
              <w:t xml:space="preserve">38.1%</w:t>
            </w:r>
          </w:p>
        </w:tc>
      </w:tr>
      <w:tr>
        <w:tc>
          <w:tcPr/>
          <w:p>
            <w:pPr>
              <w:pStyle w:val="Compact"/>
            </w:pPr>
            <w:r>
              <w:t xml:space="preserve">6Q</w:t>
            </w:r>
          </w:p>
        </w:tc>
        <w:tc>
          <w:tcPr/>
          <w:p>
            <w:pPr>
              <w:pStyle w:val="Compact"/>
            </w:pPr>
            <w:r>
              <w:t xml:space="preserve">Bear</w:t>
            </w:r>
          </w:p>
        </w:tc>
        <w:tc>
          <w:tcPr/>
          <w:p>
            <w:pPr>
              <w:pStyle w:val="Compact"/>
            </w:pPr>
            <w:r>
              <w:t xml:space="preserve">$143.43</w:t>
            </w:r>
          </w:p>
        </w:tc>
        <w:tc>
          <w:tcPr/>
          <w:p>
            <w:pPr>
              <w:pStyle w:val="Compact"/>
            </w:pPr>
            <w:r>
              <w:t xml:space="preserve">-72.9%</w:t>
            </w:r>
          </w:p>
        </w:tc>
      </w:tr>
      <w:tr>
        <w:tc>
          <w:tcPr/>
          <w:p>
            <w:pPr>
              <w:pStyle w:val="Compact"/>
            </w:pPr>
            <w:r>
              <w:t xml:space="preserve">6Q</w:t>
            </w:r>
          </w:p>
        </w:tc>
        <w:tc>
          <w:tcPr/>
          <w:p>
            <w:pPr>
              <w:pStyle w:val="Compact"/>
            </w:pPr>
            <w:r>
              <w:t xml:space="preserve">Base</w:t>
            </w:r>
          </w:p>
        </w:tc>
        <w:tc>
          <w:tcPr/>
          <w:p>
            <w:pPr>
              <w:pStyle w:val="Compact"/>
            </w:pPr>
            <w:r>
              <w:t xml:space="preserve">$486.09</w:t>
            </w:r>
          </w:p>
        </w:tc>
        <w:tc>
          <w:tcPr/>
          <w:p>
            <w:pPr>
              <w:pStyle w:val="Compact"/>
            </w:pPr>
            <w:r>
              <w:t xml:space="preserve">-8.1%</w:t>
            </w:r>
          </w:p>
        </w:tc>
      </w:tr>
      <w:tr>
        <w:tc>
          <w:tcPr/>
          <w:p>
            <w:pPr>
              <w:pStyle w:val="Compact"/>
            </w:pPr>
            <w:r>
              <w:t xml:space="preserve">6Q</w:t>
            </w:r>
          </w:p>
        </w:tc>
        <w:tc>
          <w:tcPr/>
          <w:p>
            <w:pPr>
              <w:pStyle w:val="Compact"/>
            </w:pPr>
            <w:r>
              <w:t xml:space="preserve">Bull</w:t>
            </w:r>
          </w:p>
        </w:tc>
        <w:tc>
          <w:tcPr/>
          <w:p>
            <w:pPr>
              <w:pStyle w:val="Compact"/>
            </w:pPr>
            <w:r>
              <w:t xml:space="preserve">$998.40</w:t>
            </w:r>
          </w:p>
        </w:tc>
        <w:tc>
          <w:tcPr/>
          <w:p>
            <w:pPr>
              <w:pStyle w:val="Compact"/>
            </w:pPr>
            <w:r>
              <w:t xml:space="preserve">88.8%</w:t>
            </w:r>
          </w:p>
        </w:tc>
      </w:tr>
      <w:tr>
        <w:tc>
          <w:tcPr/>
          <w:p>
            <w:pPr>
              <w:pStyle w:val="Compact"/>
            </w:pPr>
            <w:r>
              <w:t xml:space="preserve">8Q</w:t>
            </w:r>
          </w:p>
        </w:tc>
        <w:tc>
          <w:tcPr/>
          <w:p>
            <w:pPr>
              <w:pStyle w:val="Compact"/>
            </w:pPr>
            <w:r>
              <w:t xml:space="preserve">Bear</w:t>
            </w:r>
          </w:p>
        </w:tc>
        <w:tc>
          <w:tcPr/>
          <w:p>
            <w:pPr>
              <w:pStyle w:val="Compact"/>
            </w:pPr>
            <w:r>
              <w:t xml:space="preserve">$156.42</w:t>
            </w:r>
          </w:p>
        </w:tc>
        <w:tc>
          <w:tcPr/>
          <w:p>
            <w:pPr>
              <w:pStyle w:val="Compact"/>
            </w:pPr>
            <w:r>
              <w:t xml:space="preserve">-70.4%</w:t>
            </w:r>
          </w:p>
        </w:tc>
      </w:tr>
      <w:tr>
        <w:tc>
          <w:tcPr/>
          <w:p>
            <w:pPr>
              <w:pStyle w:val="Compact"/>
            </w:pPr>
            <w:r>
              <w:t xml:space="preserve">8Q</w:t>
            </w:r>
          </w:p>
        </w:tc>
        <w:tc>
          <w:tcPr/>
          <w:p>
            <w:pPr>
              <w:pStyle w:val="Compact"/>
            </w:pPr>
            <w:r>
              <w:t xml:space="preserve">Base</w:t>
            </w:r>
          </w:p>
        </w:tc>
        <w:tc>
          <w:tcPr/>
          <w:p>
            <w:pPr>
              <w:pStyle w:val="Compact"/>
            </w:pPr>
            <w:r>
              <w:t xml:space="preserve">$615.23</w:t>
            </w:r>
          </w:p>
        </w:tc>
        <w:tc>
          <w:tcPr/>
          <w:p>
            <w:pPr>
              <w:pStyle w:val="Compact"/>
            </w:pPr>
            <w:r>
              <w:t xml:space="preserve">16.4%</w:t>
            </w:r>
          </w:p>
        </w:tc>
      </w:tr>
      <w:tr>
        <w:tc>
          <w:tcPr/>
          <w:p>
            <w:pPr>
              <w:pStyle w:val="Compact"/>
            </w:pPr>
            <w:r>
              <w:t xml:space="preserve">8Q</w:t>
            </w:r>
          </w:p>
        </w:tc>
        <w:tc>
          <w:tcPr/>
          <w:p>
            <w:pPr>
              <w:pStyle w:val="Compact"/>
            </w:pPr>
            <w:r>
              <w:t xml:space="preserve">Bull</w:t>
            </w:r>
          </w:p>
        </w:tc>
        <w:tc>
          <w:tcPr/>
          <w:p>
            <w:pPr>
              <w:pStyle w:val="Compact"/>
            </w:pPr>
            <w:r>
              <w:t xml:space="preserve">$1,364.67</w:t>
            </w:r>
          </w:p>
        </w:tc>
        <w:tc>
          <w:tcPr/>
          <w:p>
            <w:pPr>
              <w:pStyle w:val="Compact"/>
            </w:pPr>
            <w:r>
              <w:t xml:space="preserve">158.1%</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41.2x</w:t>
            </w:r>
          </w:p>
        </w:tc>
      </w:tr>
      <w:tr>
        <w:tc>
          <w:tcPr/>
          <w:p>
            <w:pPr>
              <w:pStyle w:val="Compact"/>
            </w:pPr>
            <w:r>
              <w:t xml:space="preserve">4Q</w:t>
            </w:r>
          </w:p>
        </w:tc>
        <w:tc>
          <w:tcPr/>
          <w:p>
            <w:pPr>
              <w:pStyle w:val="Compact"/>
            </w:pPr>
            <w:r>
              <w:t xml:space="preserve">30.5x</w:t>
            </w:r>
          </w:p>
        </w:tc>
      </w:tr>
      <w:tr>
        <w:tc>
          <w:tcPr/>
          <w:p>
            <w:pPr>
              <w:pStyle w:val="Compact"/>
            </w:pPr>
            <w:r>
              <w:t xml:space="preserve">6Q</w:t>
            </w:r>
          </w:p>
        </w:tc>
        <w:tc>
          <w:tcPr/>
          <w:p>
            <w:pPr>
              <w:pStyle w:val="Compact"/>
            </w:pPr>
            <w:r>
              <w:t xml:space="preserve">22.6x</w:t>
            </w:r>
          </w:p>
        </w:tc>
      </w:tr>
      <w:tr>
        <w:tc>
          <w:tcPr/>
          <w:p>
            <w:pPr>
              <w:pStyle w:val="Compact"/>
            </w:pPr>
            <w:r>
              <w:t xml:space="preserve">8Q</w:t>
            </w:r>
          </w:p>
        </w:tc>
        <w:tc>
          <w:tcPr/>
          <w:p>
            <w:pPr>
              <w:pStyle w:val="Compact"/>
            </w:pPr>
            <w:r>
              <w:t xml:space="preserve">16.7x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37.4%</w:t>
            </w:r>
          </w:p>
        </w:tc>
        <w:tc>
          <w:tcPr/>
          <w:p>
            <w:pPr>
              <w:pStyle w:val="Compact"/>
            </w:pPr>
            <w:r>
              <w:t xml:space="preserve">20.0%</w:t>
            </w:r>
          </w:p>
        </w:tc>
        <w:tc>
          <w:tcPr/>
          <w:p>
            <w:pPr>
              <w:pStyle w:val="Compact"/>
            </w:pPr>
            <w:r>
              <w:t xml:space="preserve">14.1%</w:t>
            </w:r>
          </w:p>
        </w:tc>
        <w:tc>
          <w:tcPr/>
          <w:p>
            <w:pPr>
              <w:pStyle w:val="Compact"/>
            </w:pPr>
            <w:r>
              <w:t xml:space="preserve">2.5%</w:t>
            </w:r>
          </w:p>
        </w:tc>
        <w:tc>
          <w:tcPr/>
          <w:p>
            <w:pPr>
              <w:pStyle w:val="Compact"/>
            </w:pPr>
            <w:r>
              <w:t xml:space="preserve">25.0%</w:t>
            </w:r>
          </w:p>
        </w:tc>
        <w:tc>
          <w:tcPr/>
          <w:p>
            <w:pPr>
              <w:pStyle w:val="Compact"/>
            </w:pPr>
            <w:r>
              <w:t xml:space="preserve">$162.17</w:t>
            </w:r>
          </w:p>
        </w:tc>
        <w:tc>
          <w:tcPr/>
          <w:p>
            <w:pPr>
              <w:pStyle w:val="Compact"/>
            </w:pPr>
            <w:r>
              <w:t xml:space="preserve">-69.3%</w:t>
            </w:r>
          </w:p>
        </w:tc>
      </w:tr>
      <w:tr>
        <w:tc>
          <w:tcPr/>
          <w:p>
            <w:pPr>
              <w:pStyle w:val="Compact"/>
            </w:pPr>
            <w:r>
              <w:t xml:space="preserve">Base</w:t>
            </w:r>
          </w:p>
        </w:tc>
        <w:tc>
          <w:tcPr/>
          <w:p>
            <w:pPr>
              <w:pStyle w:val="Compact"/>
            </w:pPr>
            <w:r>
              <w:t xml:space="preserve">74.8%</w:t>
            </w:r>
          </w:p>
        </w:tc>
        <w:tc>
          <w:tcPr/>
          <w:p>
            <w:pPr>
              <w:pStyle w:val="Compact"/>
            </w:pPr>
            <w:r>
              <w:t xml:space="preserve">25.0%</w:t>
            </w:r>
          </w:p>
        </w:tc>
        <w:tc>
          <w:tcPr/>
          <w:p>
            <w:pPr>
              <w:pStyle w:val="Compact"/>
            </w:pPr>
            <w:r>
              <w:t xml:space="preserve">13.1%</w:t>
            </w:r>
          </w:p>
        </w:tc>
        <w:tc>
          <w:tcPr/>
          <w:p>
            <w:pPr>
              <w:pStyle w:val="Compact"/>
            </w:pPr>
            <w:r>
              <w:t xml:space="preserve">3.0%</w:t>
            </w:r>
          </w:p>
        </w:tc>
        <w:tc>
          <w:tcPr/>
          <w:p>
            <w:pPr>
              <w:pStyle w:val="Compact"/>
            </w:pPr>
            <w:r>
              <w:t xml:space="preserve">50.0%</w:t>
            </w:r>
          </w:p>
        </w:tc>
        <w:tc>
          <w:tcPr/>
          <w:p>
            <w:pPr>
              <w:pStyle w:val="Compact"/>
            </w:pPr>
            <w:r>
              <w:t xml:space="preserve">$767.70</w:t>
            </w:r>
          </w:p>
        </w:tc>
        <w:tc>
          <w:tcPr/>
          <w:p>
            <w:pPr>
              <w:pStyle w:val="Compact"/>
            </w:pPr>
            <w:r>
              <w:t xml:space="preserve">45.2%</w:t>
            </w:r>
          </w:p>
        </w:tc>
      </w:tr>
      <w:tr>
        <w:tc>
          <w:tcPr/>
          <w:p>
            <w:pPr>
              <w:pStyle w:val="Compact"/>
            </w:pPr>
            <w:r>
              <w:t xml:space="preserve">Bull</w:t>
            </w:r>
          </w:p>
        </w:tc>
        <w:tc>
          <w:tcPr/>
          <w:p>
            <w:pPr>
              <w:pStyle w:val="Compact"/>
            </w:pPr>
            <w:r>
              <w:t xml:space="preserve">97.2%</w:t>
            </w:r>
          </w:p>
        </w:tc>
        <w:tc>
          <w:tcPr/>
          <w:p>
            <w:pPr>
              <w:pStyle w:val="Compact"/>
            </w:pPr>
            <w:r>
              <w:t xml:space="preserve">28.7%</w:t>
            </w:r>
          </w:p>
        </w:tc>
        <w:tc>
          <w:tcPr/>
          <w:p>
            <w:pPr>
              <w:pStyle w:val="Compact"/>
            </w:pPr>
            <w:r>
              <w:t xml:space="preserve">12.6%</w:t>
            </w:r>
          </w:p>
        </w:tc>
        <w:tc>
          <w:tcPr/>
          <w:p>
            <w:pPr>
              <w:pStyle w:val="Compact"/>
            </w:pPr>
            <w:r>
              <w:t xml:space="preserve">3.5%</w:t>
            </w:r>
          </w:p>
        </w:tc>
        <w:tc>
          <w:tcPr/>
          <w:p>
            <w:pPr>
              <w:pStyle w:val="Compact"/>
            </w:pPr>
            <w:r>
              <w:t xml:space="preserve">25.0%</w:t>
            </w:r>
          </w:p>
        </w:tc>
        <w:tc>
          <w:tcPr/>
          <w:p>
            <w:pPr>
              <w:pStyle w:val="Compact"/>
            </w:pPr>
            <w:r>
              <w:t xml:space="preserve">$1,919.27</w:t>
            </w:r>
          </w:p>
        </w:tc>
        <w:tc>
          <w:tcPr/>
          <w:p>
            <w:pPr>
              <w:pStyle w:val="Compact"/>
            </w:pPr>
            <w:r>
              <w:t xml:space="preserve">263.0%</w:t>
            </w:r>
          </w:p>
        </w:tc>
      </w:tr>
    </w:tbl>
    <w:p>
      <w:pPr>
        <w:pStyle w:val="BodyText"/>
      </w:pPr>
      <w:r>
        <w:rPr>
          <w:rFonts w:hint="eastAsia"/>
        </w:rPr>
        <w:t xml:space="preserve">概率加权价值</w:t>
      </w:r>
      <w:r>
        <w:t xml:space="preserve"> </w:t>
      </w:r>
      <w:r>
        <w:rPr>
          <w:b/>
          <w:bCs/>
        </w:rPr>
        <w:t xml:space="preserve">$904.21</w:t>
      </w:r>
      <w:r>
        <w:rPr>
          <w:rFonts w:hint="eastAsia"/>
        </w:rPr>
        <w:t xml:space="preserve">（相对现价</w:t>
      </w:r>
      <w:r>
        <w:t xml:space="preserve"> </w:t>
      </w:r>
      <w:r>
        <w:rPr>
          <w:rFonts w:hint="eastAsia"/>
        </w:rPr>
        <w:t xml:space="preserve">71.0%）。</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1,244.4 bn </w:t>
      </w:r>
      <w:r>
        <w:rPr>
          <w:rFonts w:hint="eastAsia"/>
        </w:rPr>
        <w:t xml:space="preserve">USD；终值占比</w:t>
      </w:r>
      <w:r>
        <w:t xml:space="preserve"> 57.4%。</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62.8%</w:t>
      </w:r>
      <w:r>
        <w:rPr>
          <w:rFonts w:hint="eastAsia"/>
        </w:rPr>
        <w:t xml:space="preserve">；一致预期FY+1增速</w:t>
      </w:r>
      <w:r>
        <w:t xml:space="preserve"> 74.8%。</w:t>
      </w:r>
    </w:p>
    <w:p>
      <w:pPr>
        <w:numPr>
          <w:ilvl w:val="0"/>
          <w:numId w:val="1005"/>
        </w:numPr>
      </w:pPr>
      <w:r>
        <w:t xml:space="preserve">WACC (CAPM) = rf 5.1% + β 1.60 × ERP 5.0% = 13.1%。</w:t>
      </w:r>
    </w:p>
    <w:p>
      <w:pPr>
        <w:numPr>
          <w:ilvl w:val="0"/>
          <w:numId w:val="1005"/>
        </w:numPr>
      </w:pPr>
      <w:r>
        <w:t xml:space="preserve">SOTP segments </w:t>
      </w:r>
      <w:r>
        <w:rPr>
          <w:rFonts w:hint="eastAsia"/>
        </w:rPr>
        <w:t xml:space="preserve">分部:</w:t>
      </w:r>
      <w:r>
        <w:t xml:space="preserve"> Data Center (EPYC+Instinct) </w:t>
      </w:r>
      <w:r>
        <w:rPr>
          <w:rFonts w:hint="eastAsia"/>
        </w:rPr>
        <w:t xml:space="preserve">数据中心;</w:t>
      </w:r>
      <w:r>
        <w:t xml:space="preserve"> Client </w:t>
      </w:r>
      <w:r>
        <w:rPr>
          <w:rFonts w:hint="eastAsia"/>
        </w:rPr>
        <w:t xml:space="preserve">客户端;</w:t>
      </w:r>
      <w:r>
        <w:t xml:space="preserve"> Gaming </w:t>
      </w:r>
      <w:r>
        <w:rPr>
          <w:rFonts w:hint="eastAsia"/>
        </w:rPr>
        <w:t xml:space="preserve">游戏;</w:t>
      </w:r>
      <w:r>
        <w:t xml:space="preserve"> Embedded </w:t>
      </w:r>
      <w:r>
        <w:rPr>
          <w:rFonts w:hint="eastAsia"/>
        </w:rPr>
        <w:t xml:space="preserve">嵌入式.</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AMD | 863.2 bn USD | 20.7x | 33.6x | 50.1% | 55.7% | 1.0% |</w:t>
      </w:r>
      <w:r>
        <w:t xml:space="preserve"> </w:t>
      </w:r>
      <w:r>
        <w:t xml:space="preserve">| NVDA | 5,170.6 bn USD | 17.0x | 13.5x | 105.9% | 74.7% | 0.8% |</w:t>
      </w:r>
      <w:r>
        <w:t xml:space="preserve"> </w:t>
      </w:r>
      <w:r>
        <w:t xml:space="preserve">| INTC | 475.0 bn USD | 8.6x | 42.7x | 25.4% | 38.9% | 1.0% |</w:t>
      </w:r>
      <w:r>
        <w:t xml:space="preserve"> </w:t>
      </w:r>
      <w:r>
        <w:t xml:space="preserve">| AVGO | 1,569.3 bn USD | 18.0x | 17.0x | 85.5% | 75.5% | 1.9% |</w:t>
      </w:r>
      <w:r>
        <w:t xml:space="preserve"> </w:t>
      </w:r>
      <w:r>
        <w:t xml:space="preserve">| ARM | 243.3 bn USD | 46.5x | 74.4x | 22.4% | 97.5% | 0.5%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Delays; NVDA price aggression; client PC slowdown from memory </w:t>
      </w:r>
      <w:r>
        <w:rPr>
          <w:rFonts w:hint="eastAsia"/>
        </w:rPr>
        <w:t xml:space="preserve">costs｜延期；NVDA压价；存储涨价拖累PC</w:t>
      </w:r>
    </w:p>
    <w:p>
      <w:pPr>
        <w:pStyle w:val="Compact"/>
        <w:numPr>
          <w:ilvl w:val="0"/>
          <w:numId w:val="1006"/>
        </w:numPr>
      </w:pPr>
      <w:r>
        <w:rPr>
          <w:rFonts w:hint="eastAsia"/>
        </w:rPr>
        <w:t xml:space="preserve">证伪指标:</w:t>
      </w:r>
      <w:r>
        <w:t xml:space="preserve"> DC GPU revenue below guide; Helios slips past </w:t>
      </w:r>
      <w:r>
        <w:rPr>
          <w:rFonts w:hint="eastAsia"/>
        </w:rPr>
        <w:t xml:space="preserve">2H26｜DC</w:t>
      </w:r>
      <w:r>
        <w:t xml:space="preserve"> </w:t>
      </w:r>
      <w:r>
        <w:rPr>
          <w:rFonts w:hint="eastAsia"/>
        </w:rPr>
        <w:t xml:space="preserve">GPU收入低于指引；Helios延后</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528.8</w:t>
            </w:r>
          </w:p>
        </w:tc>
        <w:tc>
          <w:tcPr/>
          <w:p>
            <w:pPr>
              <w:pStyle w:val="Compact"/>
            </w:pPr>
            <w:r>
              <w:t xml:space="preserve">Yahoo Finance quote, fetched 2026-10-17T07:55 SGT</w:t>
            </w:r>
          </w:p>
        </w:tc>
      </w:tr>
      <w:tr>
        <w:tc>
          <w:tcPr/>
          <w:p>
            <w:pPr>
              <w:pStyle w:val="Compact"/>
            </w:pPr>
            <w:r>
              <w:t xml:space="preserve">Market cap </w:t>
            </w:r>
            <w:r>
              <w:rPr>
                <w:rFonts w:hint="eastAsia"/>
              </w:rPr>
              <w:t xml:space="preserve">市值</w:t>
            </w:r>
          </w:p>
        </w:tc>
        <w:tc>
          <w:tcPr/>
          <w:p>
            <w:pPr>
              <w:pStyle w:val="Compact"/>
            </w:pPr>
            <w:r>
              <w:t xml:space="preserve">8.632e+11</w:t>
            </w:r>
          </w:p>
        </w:tc>
        <w:tc>
          <w:tcPr/>
          <w:p>
            <w:pPr>
              <w:pStyle w:val="Compact"/>
            </w:pPr>
            <w:r>
              <w:t xml:space="preserve">Yahoo info.marketCap 2026-10-17T07:55</w:t>
            </w:r>
          </w:p>
        </w:tc>
      </w:tr>
      <w:tr>
        <w:tc>
          <w:tcPr/>
          <w:p>
            <w:pPr>
              <w:pStyle w:val="Compact"/>
            </w:pPr>
            <w:r>
              <w:t xml:space="preserve">Cash </w:t>
            </w:r>
            <w:r>
              <w:rPr>
                <w:rFonts w:hint="eastAsia"/>
              </w:rPr>
              <w:t xml:space="preserve">现金</w:t>
            </w:r>
          </w:p>
        </w:tc>
        <w:tc>
          <w:tcPr/>
          <w:p>
            <w:pPr>
              <w:pStyle w:val="Compact"/>
            </w:pPr>
            <w:r>
              <w:t xml:space="preserve">1.311e+10</w:t>
            </w:r>
          </w:p>
        </w:tc>
        <w:tc>
          <w:tcPr/>
          <w:p>
            <w:pPr>
              <w:pStyle w:val="Compact"/>
            </w:pPr>
            <w:r>
              <w:t xml:space="preserve">Yahoo info.totalCash (latest filing) 2026-10-17T07:55</w:t>
            </w:r>
          </w:p>
        </w:tc>
      </w:tr>
      <w:tr>
        <w:tc>
          <w:tcPr/>
          <w:p>
            <w:pPr>
              <w:pStyle w:val="Compact"/>
            </w:pPr>
            <w:r>
              <w:t xml:space="preserve">Debt </w:t>
            </w:r>
            <w:r>
              <w:rPr>
                <w:rFonts w:hint="eastAsia"/>
              </w:rPr>
              <w:t xml:space="preserve">负债</w:t>
            </w:r>
          </w:p>
        </w:tc>
        <w:tc>
          <w:tcPr/>
          <w:p>
            <w:pPr>
              <w:pStyle w:val="Compact"/>
            </w:pPr>
            <w:r>
              <w:t xml:space="preserve">4.276e+09</w:t>
            </w:r>
          </w:p>
        </w:tc>
        <w:tc>
          <w:tcPr/>
          <w:p>
            <w:pPr>
              <w:pStyle w:val="Compact"/>
            </w:pPr>
            <w:r>
              <w:t xml:space="preserve">Yahoo info.totalDebt (latest filing) 2026-10-17T07:55</w:t>
            </w:r>
          </w:p>
        </w:tc>
      </w:tr>
      <w:tr>
        <w:tc>
          <w:tcPr/>
          <w:p>
            <w:pPr>
              <w:pStyle w:val="Compact"/>
            </w:pPr>
            <w:r>
              <w:t xml:space="preserve">Revenue TTM </w:t>
            </w:r>
            <w:r>
              <w:rPr>
                <w:rFonts w:hint="eastAsia"/>
              </w:rPr>
              <w:t xml:space="preserve">收入</w:t>
            </w:r>
          </w:p>
        </w:tc>
        <w:tc>
          <w:tcPr/>
          <w:p>
            <w:pPr>
              <w:pStyle w:val="Compact"/>
            </w:pPr>
            <w:r>
              <w:t xml:space="preserve">4.131e+10</w:t>
            </w:r>
          </w:p>
        </w:tc>
        <w:tc>
          <w:tcPr/>
          <w:p>
            <w:pPr>
              <w:pStyle w:val="Compact"/>
            </w:pPr>
            <w:r>
              <w:t xml:space="preserve">Yahoo info.totalRevenue (TTM, USD) 2026-10-17T07:55</w:t>
            </w:r>
          </w:p>
        </w:tc>
      </w:tr>
      <w:tr>
        <w:tc>
          <w:tcPr/>
          <w:p>
            <w:pPr>
              <w:pStyle w:val="Compact"/>
            </w:pPr>
            <w:r>
              <w:t xml:space="preserve">FCF TTM </w:t>
            </w:r>
            <w:r>
              <w:rPr>
                <w:rFonts w:hint="eastAsia"/>
              </w:rPr>
              <w:t xml:space="preserve">自由现金流</w:t>
            </w:r>
          </w:p>
        </w:tc>
        <w:tc>
          <w:tcPr/>
          <w:p>
            <w:pPr>
              <w:pStyle w:val="Compact"/>
            </w:pPr>
            <w:r>
              <w:t xml:space="preserve">8.403e+09</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2.454</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0.051</w:t>
            </w:r>
          </w:p>
        </w:tc>
        <w:tc>
          <w:tcPr/>
          <w:p>
            <w:pPr>
              <w:pStyle w:val="Compact"/>
            </w:pPr>
            <w:r>
              <w:t xml:space="preserve">FRED DGS10 2026-10-15</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0.4708</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0.7479</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0.7479</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0.2034</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0.25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AMD_model_v20261017-0755.xlsx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data/snapshots/20261017-0755</w:t>
      </w:r>
      <w:r>
        <w:t xml:space="preserve"> </w:t>
      </w:r>
      <w:r>
        <w:t xml:space="preserve">(immutable) | Fetched 2026-10-17 07:55 SGT | Generated 2026-10-17 07:57 SGT</w:t>
      </w:r>
    </w:p>
    <w:p>
      <w:pPr>
        <w:pStyle w:val="Compact"/>
        <w:numPr>
          <w:ilvl w:val="0"/>
          <w:numId w:val="1007"/>
        </w:numPr>
      </w:pPr>
      <w:r>
        <w:t xml:space="preserve">Version: v20261017-0755.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v20261017-0755: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2026-11-04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AMD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AMD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AMD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AMD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AMD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2912d1a6acbf12f393e2d7a8e3c46936f6f4267"/>
    <w:p>
      <w:pPr>
        <w:pStyle w:val="Heading1"/>
      </w:pPr>
      <w:r>
        <w:t xml:space="preserve">AMD Advanced Micro Devices, Inc. — Equity Deep Dive (Professional English) v20261017-0755</w:t>
      </w:r>
    </w:p>
    <w:p>
      <w:pPr>
        <w:pStyle w:val="BlockText"/>
      </w:pPr>
      <w:r>
        <w:t xml:space="preserve">Data as of 2026-10-17 07:55 SGT | Price $528.75 | Mkt cap 863.2 bn USD | Reporting currency USD | Not investment advice.</w:t>
      </w:r>
    </w:p>
    <w:bookmarkStart w:id="39" w:name="investment-thesis-hypothesis"/>
    <w:p>
      <w:pPr>
        <w:pStyle w:val="Heading2"/>
      </w:pPr>
      <w:r>
        <w:t xml:space="preserve">1. Investment thesis (HYPOTHESIS)</w:t>
      </w:r>
    </w:p>
    <w:p>
      <w:pPr>
        <w:pStyle w:val="FirstParagraph"/>
      </w:pPr>
      <w:r>
        <w:t xml:space="preserve">AMD keeps taking server-CPU share and is fighting to be the No.2 AI GPU supplier with MI400/Helios racks; the OpenAI partnership is the proof point, with high execution risk.</w:t>
      </w:r>
    </w:p>
    <w:p>
      <w:pPr>
        <w:pStyle w:val="Compact"/>
        <w:numPr>
          <w:ilvl w:val="0"/>
          <w:numId w:val="1009"/>
        </w:numPr>
      </w:pPr>
      <w:r>
        <w:rPr>
          <w:b/>
          <w:bCs/>
        </w:rPr>
        <w:t xml:space="preserve">Bull drivers</w:t>
      </w:r>
      <w:r>
        <w:t xml:space="preserve">: MI450 ramps on time with multiple gigawatt </w:t>
      </w:r>
      <w:r>
        <w:rPr>
          <w:rFonts w:hint="eastAsia"/>
        </w:rPr>
        <w:t xml:space="preserve">customers｜MI450按期多客户放量</w:t>
      </w:r>
    </w:p>
    <w:p>
      <w:pPr>
        <w:pStyle w:val="Compact"/>
        <w:numPr>
          <w:ilvl w:val="0"/>
          <w:numId w:val="1009"/>
        </w:numPr>
      </w:pPr>
      <w:r>
        <w:rPr>
          <w:b/>
          <w:bCs/>
        </w:rPr>
        <w:t xml:space="preserve">Bear drivers</w:t>
      </w:r>
      <w:r>
        <w:t xml:space="preserve">: Delays; NVDA price aggression; client PC slowdown from memory </w:t>
      </w:r>
      <w:r>
        <w:rPr>
          <w:rFonts w:hint="eastAsia"/>
        </w:rPr>
        <w:t xml:space="preserve">costs｜延期；NVDA压价；存储涨价拖累PC</w:t>
      </w:r>
    </w:p>
    <w:p>
      <w:pPr>
        <w:pStyle w:val="Compact"/>
        <w:numPr>
          <w:ilvl w:val="0"/>
          <w:numId w:val="1009"/>
        </w:numPr>
      </w:pPr>
      <w:r>
        <w:rPr>
          <w:b/>
          <w:bCs/>
        </w:rPr>
        <w:t xml:space="preserve">Falsifiers</w:t>
      </w:r>
      <w:r>
        <w:t xml:space="preserve">: DC GPU revenue below guide; Helios slips past </w:t>
      </w:r>
      <w:r>
        <w:rPr>
          <w:rFonts w:hint="eastAsia"/>
        </w:rPr>
        <w:t xml:space="preserve">2H26｜DC</w:t>
      </w:r>
      <w:r>
        <w:t xml:space="preserve"> </w:t>
      </w:r>
      <w:r>
        <w:rPr>
          <w:rFonts w:hint="eastAsia"/>
        </w:rPr>
        <w:t xml:space="preserve">GPU收入低于指引；Helios延后</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CPU + GPU AI accelerators CPU+AI GPU | Segments: Data Center (EPYC+Instinct) </w:t>
      </w:r>
      <w:r>
        <w:rPr>
          <w:rFonts w:hint="eastAsia"/>
        </w:rPr>
        <w:t xml:space="preserve">数据中心;</w:t>
      </w:r>
      <w:r>
        <w:t xml:space="preserve"> Client </w:t>
      </w:r>
      <w:r>
        <w:rPr>
          <w:rFonts w:hint="eastAsia"/>
        </w:rPr>
        <w:t xml:space="preserve">客户端;</w:t>
      </w:r>
      <w:r>
        <w:t xml:space="preserve"> Gaming </w:t>
      </w:r>
      <w:r>
        <w:rPr>
          <w:rFonts w:hint="eastAsia"/>
        </w:rPr>
        <w:t xml:space="preserve">游戏;</w:t>
      </w:r>
      <w:r>
        <w:t xml:space="preserve"> Embedded </w:t>
      </w:r>
      <w:r>
        <w:rPr>
          <w:rFonts w:hint="eastAsia"/>
        </w:rPr>
        <w:t xml:space="preserve">嵌入式</w:t>
      </w:r>
    </w:p>
    <w:p>
      <w:pPr>
        <w:pStyle w:val="Compact"/>
        <w:numPr>
          <w:ilvl w:val="0"/>
          <w:numId w:val="1010"/>
        </w:numPr>
      </w:pPr>
      <w:r>
        <w:t xml:space="preserve">Business description (DATA): Advanced Micro Devices, Inc. operates as a semiconductor company internationally. It operates in three segments: Data Center, Client and Gaming, and Embedded. The company offers artificial intelligence (AI) accelerators, microprocessors, and graphics processing units (GPUs) as standalone devices or as incorporated into accelerated processing units, chipsets, and data center and professional GPUs; and embedded processors and semi-custom system-on-chip (SoC) products, microprocessor and SoC development services and technology, data processing units, field programmable gate arrays (FPGA), system on modules, AI network interface cards, and adaptive SoC products. It provides processors under the AMD Ryzen, AMD Ryzen AI, AMD Ryzen PRO, AMD Ryzen Threadripper, AMD Ryzen Threadripper PRO, AMD Athlon, and AMD PRO A-Series brands; graphics under the AMD Radeon graphics and AMD Embedded Radeon grap</w:t>
      </w:r>
    </w:p>
    <w:p>
      <w:pPr>
        <w:pStyle w:val="Compact"/>
        <w:numPr>
          <w:ilvl w:val="0"/>
          <w:numId w:val="1010"/>
        </w:numPr>
      </w:pPr>
      <w:r>
        <w:t xml:space="preserve">Customers: Hyperscalers, OpenAI (MI450 deal), Oracle, Meta, PC </w:t>
      </w:r>
      <w:r>
        <w:rPr>
          <w:rFonts w:hint="eastAsia"/>
        </w:rPr>
        <w:t xml:space="preserve">OEMs｜云厂、OpenAI、甲骨文、Meta、PC厂</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TSMC (N3/N2, CoWoS), HBM vendors, ZT Systems (rack </w:t>
      </w:r>
      <w:r>
        <w:rPr>
          <w:rFonts w:hint="eastAsia"/>
        </w:rPr>
        <w:t xml:space="preserve">design)｜台积电、HBM、ZT</w:t>
      </w:r>
      <w:r>
        <w:t xml:space="preserve"> Systems</w:t>
      </w:r>
    </w:p>
    <w:p>
      <w:pPr>
        <w:pStyle w:val="Compact"/>
        <w:numPr>
          <w:ilvl w:val="0"/>
          <w:numId w:val="1011"/>
        </w:numPr>
      </w:pPr>
      <w:r>
        <w:t xml:space="preserve">Competitors: NVDA, Intel, ARM-based CPUs, custom </w:t>
      </w:r>
      <w:r>
        <w:rPr>
          <w:rFonts w:hint="eastAsia"/>
        </w:rPr>
        <w:t xml:space="preserve">ASICs｜NVDA、英特尔、ARM</w:t>
      </w:r>
      <w:r>
        <w:t xml:space="preserve"> CPU、ASIC</w:t>
      </w:r>
    </w:p>
    <w:p>
      <w:pPr>
        <w:pStyle w:val="Compact"/>
        <w:numPr>
          <w:ilvl w:val="0"/>
          <w:numId w:val="1011"/>
        </w:numPr>
      </w:pPr>
      <w:r>
        <w:t xml:space="preserve">Bottlenecks/regulation: Rack-scale (Helios) execution, ROCm software maturity, CoWoS </w:t>
      </w:r>
      <w:r>
        <w:rPr>
          <w:rFonts w:hint="eastAsia"/>
        </w:rPr>
        <w:t xml:space="preserve">supply｜机架级Helios执行、ROCm软件、CoWoS</w:t>
      </w:r>
    </w:p>
    <w:p>
      <w:pPr>
        <w:pStyle w:val="Compact"/>
        <w:numPr>
          <w:ilvl w:val="0"/>
          <w:numId w:val="1011"/>
        </w:numPr>
      </w:pPr>
      <w:r>
        <w:t xml:space="preserve">KPIs: DC revenue, Instinct revenue, server CPU share, </w:t>
      </w:r>
      <w:r>
        <w:rPr>
          <w:rFonts w:hint="eastAsia"/>
        </w:rPr>
        <w:t xml:space="preserve">GM%｜DC收入、Instinct收入、服务器份额、毛利率</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11.5 bn USD</w:t>
            </w:r>
          </w:p>
        </w:tc>
        <w:tc>
          <w:tcPr/>
          <w:p>
            <w:pPr>
              <w:pStyle w:val="Compact"/>
            </w:pPr>
            <w:r>
              <w:t xml:space="preserve">6.2 bn USD</w:t>
            </w:r>
          </w:p>
        </w:tc>
        <w:tc>
          <w:tcPr/>
          <w:p>
            <w:pPr>
              <w:pStyle w:val="Compact"/>
            </w:pPr>
            <w:r>
              <w:t xml:space="preserve">2.0 bn USD</w:t>
            </w:r>
          </w:p>
        </w:tc>
        <w:tc>
          <w:tcPr/>
          <w:p>
            <w:pPr>
              <w:pStyle w:val="Compact"/>
            </w:pPr>
            <w:r>
              <w:t xml:space="preserve">2.3 bn USD</w:t>
            </w:r>
          </w:p>
        </w:tc>
        <w:tc>
          <w:tcPr/>
          <w:p>
            <w:pPr>
              <w:pStyle w:val="Compact"/>
            </w:pPr>
            <w:r>
              <w:t xml:space="preserve">1.6 bn USD</w:t>
            </w:r>
          </w:p>
        </w:tc>
        <w:tc>
          <w:tcPr/>
          <w:p>
            <w:pPr>
              <w:pStyle w:val="Compact"/>
            </w:pPr>
            <w:r>
              <w:t xml:space="preserve">17.3%</w:t>
            </w:r>
          </w:p>
        </w:tc>
      </w:tr>
      <w:tr>
        <w:tc>
          <w:tcPr/>
          <w:p>
            <w:pPr>
              <w:pStyle w:val="Compact"/>
            </w:pPr>
            <w:r>
              <w:t xml:space="preserve">2026-03-31</w:t>
            </w:r>
          </w:p>
        </w:tc>
        <w:tc>
          <w:tcPr/>
          <w:p>
            <w:pPr>
              <w:pStyle w:val="Compact"/>
            </w:pPr>
            <w:r>
              <w:t xml:space="preserve">10.3 bn USD</w:t>
            </w:r>
          </w:p>
        </w:tc>
        <w:tc>
          <w:tcPr/>
          <w:p>
            <w:pPr>
              <w:pStyle w:val="Compact"/>
            </w:pPr>
            <w:r>
              <w:t xml:space="preserve">5.4 bn USD</w:t>
            </w:r>
          </w:p>
        </w:tc>
        <w:tc>
          <w:tcPr/>
          <w:p>
            <w:pPr>
              <w:pStyle w:val="Compact"/>
            </w:pPr>
            <w:r>
              <w:t xml:space="preserve">1.5 bn USD</w:t>
            </w:r>
          </w:p>
        </w:tc>
        <w:tc>
          <w:tcPr/>
          <w:p>
            <w:pPr>
              <w:pStyle w:val="Compact"/>
            </w:pPr>
            <w:r>
              <w:t xml:space="preserve">1.4 bn USD</w:t>
            </w:r>
          </w:p>
        </w:tc>
        <w:tc>
          <w:tcPr/>
          <w:p>
            <w:pPr>
              <w:pStyle w:val="Compact"/>
            </w:pPr>
            <w:r>
              <w:t xml:space="preserve">2.6 bn USD</w:t>
            </w:r>
          </w:p>
        </w:tc>
        <w:tc>
          <w:tcPr/>
          <w:p>
            <w:pPr>
              <w:pStyle w:val="Compact"/>
            </w:pPr>
            <w:r>
              <w:t xml:space="preserve">14.4%</w:t>
            </w:r>
          </w:p>
        </w:tc>
      </w:tr>
      <w:tr>
        <w:tc>
          <w:tcPr/>
          <w:p>
            <w:pPr>
              <w:pStyle w:val="Compact"/>
            </w:pPr>
            <w:r>
              <w:t xml:space="preserve">2025-12-31</w:t>
            </w:r>
          </w:p>
        </w:tc>
        <w:tc>
          <w:tcPr/>
          <w:p>
            <w:pPr>
              <w:pStyle w:val="Compact"/>
            </w:pPr>
            <w:r>
              <w:t xml:space="preserve">10.3 bn USD</w:t>
            </w:r>
          </w:p>
        </w:tc>
        <w:tc>
          <w:tcPr/>
          <w:p>
            <w:pPr>
              <w:pStyle w:val="Compact"/>
            </w:pPr>
            <w:r>
              <w:t xml:space="preserve">5.6 bn USD</w:t>
            </w:r>
          </w:p>
        </w:tc>
        <w:tc>
          <w:tcPr/>
          <w:p>
            <w:pPr>
              <w:pStyle w:val="Compact"/>
            </w:pPr>
            <w:r>
              <w:t xml:space="preserve">1.8 bn USD</w:t>
            </w:r>
          </w:p>
        </w:tc>
        <w:tc>
          <w:tcPr/>
          <w:p>
            <w:pPr>
              <w:pStyle w:val="Compact"/>
            </w:pPr>
            <w:r>
              <w:t xml:space="preserve">1.5 bn USD</w:t>
            </w:r>
          </w:p>
        </w:tc>
        <w:tc>
          <w:tcPr/>
          <w:p>
            <w:pPr>
              <w:pStyle w:val="Compact"/>
            </w:pPr>
            <w:r>
              <w:t xml:space="preserve">2.4 bn USD</w:t>
            </w:r>
          </w:p>
        </w:tc>
        <w:tc>
          <w:tcPr/>
          <w:p>
            <w:pPr>
              <w:pStyle w:val="Compact"/>
            </w:pPr>
            <w:r>
              <w:t xml:space="preserve">17.1%</w:t>
            </w:r>
          </w:p>
        </w:tc>
      </w:tr>
      <w:tr>
        <w:tc>
          <w:tcPr/>
          <w:p>
            <w:pPr>
              <w:pStyle w:val="Compact"/>
            </w:pPr>
            <w:r>
              <w:t xml:space="preserve">2025-09-30</w:t>
            </w:r>
          </w:p>
        </w:tc>
        <w:tc>
          <w:tcPr/>
          <w:p>
            <w:pPr>
              <w:pStyle w:val="Compact"/>
            </w:pPr>
            <w:r>
              <w:t xml:space="preserve">9.2 bn USD</w:t>
            </w:r>
          </w:p>
        </w:tc>
        <w:tc>
          <w:tcPr/>
          <w:p>
            <w:pPr>
              <w:pStyle w:val="Compact"/>
            </w:pPr>
            <w:r>
              <w:t xml:space="preserve">4.8 bn USD</w:t>
            </w:r>
          </w:p>
        </w:tc>
        <w:tc>
          <w:tcPr/>
          <w:p>
            <w:pPr>
              <w:pStyle w:val="Compact"/>
            </w:pPr>
            <w:r>
              <w:t xml:space="preserve">1.3 bn USD</w:t>
            </w:r>
          </w:p>
        </w:tc>
        <w:tc>
          <w:tcPr/>
          <w:p>
            <w:pPr>
              <w:pStyle w:val="Compact"/>
            </w:pPr>
            <w:r>
              <w:t xml:space="preserve">1.2 bn USD</w:t>
            </w:r>
          </w:p>
        </w:tc>
        <w:tc>
          <w:tcPr/>
          <w:p>
            <w:pPr>
              <w:pStyle w:val="Compact"/>
            </w:pPr>
            <w:r>
              <w:t xml:space="preserve">1.9 bn USD</w:t>
            </w:r>
          </w:p>
        </w:tc>
        <w:tc>
          <w:tcPr/>
          <w:p>
            <w:pPr>
              <w:pStyle w:val="Compact"/>
            </w:pPr>
            <w:r>
              <w:t xml:space="preserve">13.7%</w:t>
            </w:r>
          </w:p>
        </w:tc>
      </w:tr>
      <w:tr>
        <w:tc>
          <w:tcPr/>
          <w:p>
            <w:pPr>
              <w:pStyle w:val="Compact"/>
            </w:pPr>
            <w:r>
              <w:t xml:space="preserve">2025-06-30</w:t>
            </w:r>
          </w:p>
        </w:tc>
        <w:tc>
          <w:tcPr/>
          <w:p>
            <w:pPr>
              <w:pStyle w:val="Compact"/>
            </w:pPr>
            <w:r>
              <w:t xml:space="preserve">7.7 bn USD</w:t>
            </w:r>
          </w:p>
        </w:tc>
        <w:tc>
          <w:tcPr/>
          <w:p>
            <w:pPr>
              <w:pStyle w:val="Compact"/>
            </w:pPr>
            <w:r>
              <w:t xml:space="preserve">3.1 bn USD</w:t>
            </w:r>
          </w:p>
        </w:tc>
        <w:tc>
          <w:tcPr/>
          <w:p>
            <w:pPr>
              <w:pStyle w:val="Compact"/>
            </w:pPr>
            <w:r>
              <w:t xml:space="preserve">-0.1 bn USD</w:t>
            </w:r>
          </w:p>
        </w:tc>
        <w:tc>
          <w:tcPr/>
          <w:p>
            <w:pPr>
              <w:pStyle w:val="Compact"/>
            </w:pPr>
            <w:r>
              <w:t xml:space="preserve">0.9 bn USD</w:t>
            </w:r>
          </w:p>
        </w:tc>
        <w:tc>
          <w:tcPr/>
          <w:p>
            <w:pPr>
              <w:pStyle w:val="Compact"/>
            </w:pPr>
            <w:r>
              <w:t xml:space="preserve">1.7 bn USD</w:t>
            </w:r>
          </w:p>
        </w:tc>
        <w:tc>
          <w:tcPr/>
          <w:p>
            <w:pPr>
              <w:pStyle w:val="Compact"/>
            </w:pPr>
            <w:r>
              <w:t xml:space="preserve">-1.7%</w:t>
            </w:r>
          </w:p>
        </w:tc>
      </w:tr>
    </w:tbl>
    <w:p>
      <w:pPr>
        <w:pStyle w:val="BodyText"/>
      </w:pPr>
      <w:r>
        <w:t xml:space="preserve">Cash 13.1 bn USD; debt 4.3 bn USD; TTM FCF 8.4 bn USD (FCF margin 20.3%).</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1.2</w:t>
            </w:r>
          </w:p>
        </w:tc>
        <w:tc>
          <w:tcPr/>
          <w:p>
            <w:pPr>
              <w:pStyle w:val="Compact"/>
            </w:pPr>
            <w:r>
              <w:t xml:space="preserve">1.171</w:t>
            </w:r>
          </w:p>
        </w:tc>
        <w:tc>
          <w:tcPr/>
          <w:p>
            <w:pPr>
              <w:pStyle w:val="Compact"/>
            </w:pPr>
            <w:r>
              <w:t xml:space="preserve">0.0248</w:t>
            </w:r>
          </w:p>
        </w:tc>
      </w:tr>
      <w:tr>
        <w:tc>
          <w:tcPr/>
          <w:p>
            <w:pPr>
              <w:pStyle w:val="Compact"/>
            </w:pPr>
            <w:r>
              <w:t xml:space="preserve">2025-12-31</w:t>
            </w:r>
          </w:p>
        </w:tc>
        <w:tc>
          <w:tcPr/>
          <w:p>
            <w:pPr>
              <w:pStyle w:val="Compact"/>
            </w:pPr>
            <w:r>
              <w:t xml:space="preserve">1.53</w:t>
            </w:r>
          </w:p>
        </w:tc>
        <w:tc>
          <w:tcPr/>
          <w:p>
            <w:pPr>
              <w:pStyle w:val="Compact"/>
            </w:pPr>
            <w:r>
              <w:t xml:space="preserve">1.31917</w:t>
            </w:r>
          </w:p>
        </w:tc>
        <w:tc>
          <w:tcPr/>
          <w:p>
            <w:pPr>
              <w:pStyle w:val="Compact"/>
            </w:pPr>
            <w:r>
              <w:t xml:space="preserve">0.1598</w:t>
            </w:r>
          </w:p>
        </w:tc>
      </w:tr>
      <w:tr>
        <w:tc>
          <w:tcPr/>
          <w:p>
            <w:pPr>
              <w:pStyle w:val="Compact"/>
            </w:pPr>
            <w:r>
              <w:t xml:space="preserve">2026-03-31</w:t>
            </w:r>
          </w:p>
        </w:tc>
        <w:tc>
          <w:tcPr/>
          <w:p>
            <w:pPr>
              <w:pStyle w:val="Compact"/>
            </w:pPr>
            <w:r>
              <w:t xml:space="preserve">1.37</w:t>
            </w:r>
          </w:p>
        </w:tc>
        <w:tc>
          <w:tcPr/>
          <w:p>
            <w:pPr>
              <w:pStyle w:val="Compact"/>
            </w:pPr>
            <w:r>
              <w:t xml:space="preserve">1.29468</w:t>
            </w:r>
          </w:p>
        </w:tc>
        <w:tc>
          <w:tcPr/>
          <w:p>
            <w:pPr>
              <w:pStyle w:val="Compact"/>
            </w:pPr>
            <w:r>
              <w:t xml:space="preserve">0.0582</w:t>
            </w:r>
          </w:p>
        </w:tc>
      </w:tr>
      <w:tr>
        <w:tc>
          <w:tcPr/>
          <w:p>
            <w:pPr>
              <w:pStyle w:val="Compact"/>
            </w:pPr>
            <w:r>
              <w:t xml:space="preserve">2026-06-30</w:t>
            </w:r>
          </w:p>
        </w:tc>
        <w:tc>
          <w:tcPr/>
          <w:p>
            <w:pPr>
              <w:pStyle w:val="Compact"/>
            </w:pPr>
            <w:r>
              <w:t xml:space="preserve">1.66</w:t>
            </w:r>
          </w:p>
        </w:tc>
        <w:tc>
          <w:tcPr/>
          <w:p>
            <w:pPr>
              <w:pStyle w:val="Compact"/>
            </w:pPr>
            <w:r>
              <w:t xml:space="preserve">1.60841</w:t>
            </w:r>
          </w:p>
        </w:tc>
        <w:tc>
          <w:tcPr/>
          <w:p>
            <w:pPr>
              <w:pStyle w:val="Compact"/>
            </w:pPr>
            <w:r>
              <w:t xml:space="preserve">0.0321</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2026-11-04</w:t>
      </w:r>
      <w:r>
        <w:t xml:space="preserve">; current-quarter EPS consensus 1.93339 (40 analysts); revenue consensus 13.1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$120.89</w:t>
            </w:r>
          </w:p>
        </w:tc>
        <w:tc>
          <w:tcPr/>
          <w:p>
            <w:pPr>
              <w:pStyle w:val="Compact"/>
            </w:pPr>
            <w:r>
              <w:t xml:space="preserve">-77.1%</w:t>
            </w:r>
          </w:p>
        </w:tc>
      </w:tr>
      <w:tr>
        <w:tc>
          <w:tcPr/>
          <w:p>
            <w:pPr>
              <w:pStyle w:val="Compact"/>
            </w:pPr>
            <w:r>
              <w:t xml:space="preserve">2Q</w:t>
            </w:r>
          </w:p>
        </w:tc>
        <w:tc>
          <w:tcPr/>
          <w:p>
            <w:pPr>
              <w:pStyle w:val="Compact"/>
            </w:pPr>
            <w:r>
              <w:t xml:space="preserve">Base</w:t>
            </w:r>
          </w:p>
        </w:tc>
        <w:tc>
          <w:tcPr/>
          <w:p>
            <w:pPr>
              <w:pStyle w:val="Compact"/>
            </w:pPr>
            <w:r>
              <w:t xml:space="preserve">$303.91</w:t>
            </w:r>
          </w:p>
        </w:tc>
        <w:tc>
          <w:tcPr/>
          <w:p>
            <w:pPr>
              <w:pStyle w:val="Compact"/>
            </w:pPr>
            <w:r>
              <w:t xml:space="preserve">-42.5%</w:t>
            </w:r>
          </w:p>
        </w:tc>
      </w:tr>
      <w:tr>
        <w:tc>
          <w:tcPr/>
          <w:p>
            <w:pPr>
              <w:pStyle w:val="Compact"/>
            </w:pPr>
            <w:r>
              <w:t xml:space="preserve">2Q</w:t>
            </w:r>
          </w:p>
        </w:tc>
        <w:tc>
          <w:tcPr/>
          <w:p>
            <w:pPr>
              <w:pStyle w:val="Compact"/>
            </w:pPr>
            <w:r>
              <w:t xml:space="preserve">Bull</w:t>
            </w:r>
          </w:p>
        </w:tc>
        <w:tc>
          <w:tcPr/>
          <w:p>
            <w:pPr>
              <w:pStyle w:val="Compact"/>
            </w:pPr>
            <w:r>
              <w:t xml:space="preserve">$533.65</w:t>
            </w:r>
          </w:p>
        </w:tc>
        <w:tc>
          <w:tcPr/>
          <w:p>
            <w:pPr>
              <w:pStyle w:val="Compact"/>
            </w:pPr>
            <w:r>
              <w:t xml:space="preserve">0.9%</w:t>
            </w:r>
          </w:p>
        </w:tc>
      </w:tr>
      <w:tr>
        <w:tc>
          <w:tcPr/>
          <w:p>
            <w:pPr>
              <w:pStyle w:val="Compact"/>
            </w:pPr>
            <w:r>
              <w:t xml:space="preserve">4Q</w:t>
            </w:r>
          </w:p>
        </w:tc>
        <w:tc>
          <w:tcPr/>
          <w:p>
            <w:pPr>
              <w:pStyle w:val="Compact"/>
            </w:pPr>
            <w:r>
              <w:t xml:space="preserve">Bear</w:t>
            </w:r>
          </w:p>
        </w:tc>
        <w:tc>
          <w:tcPr/>
          <w:p>
            <w:pPr>
              <w:pStyle w:val="Compact"/>
            </w:pPr>
            <w:r>
              <w:t xml:space="preserve">$131.62</w:t>
            </w:r>
          </w:p>
        </w:tc>
        <w:tc>
          <w:tcPr/>
          <w:p>
            <w:pPr>
              <w:pStyle w:val="Compact"/>
            </w:pPr>
            <w:r>
              <w:t xml:space="preserve">-75.1%</w:t>
            </w:r>
          </w:p>
        </w:tc>
      </w:tr>
      <w:tr>
        <w:tc>
          <w:tcPr/>
          <w:p>
            <w:pPr>
              <w:pStyle w:val="Compact"/>
            </w:pPr>
            <w:r>
              <w:t xml:space="preserve">4Q</w:t>
            </w:r>
          </w:p>
        </w:tc>
        <w:tc>
          <w:tcPr/>
          <w:p>
            <w:pPr>
              <w:pStyle w:val="Compact"/>
            </w:pPr>
            <w:r>
              <w:t xml:space="preserve">Base</w:t>
            </w:r>
          </w:p>
        </w:tc>
        <w:tc>
          <w:tcPr/>
          <w:p>
            <w:pPr>
              <w:pStyle w:val="Compact"/>
            </w:pPr>
            <w:r>
              <w:t xml:space="preserve">$384.22</w:t>
            </w:r>
          </w:p>
        </w:tc>
        <w:tc>
          <w:tcPr/>
          <w:p>
            <w:pPr>
              <w:pStyle w:val="Compact"/>
            </w:pPr>
            <w:r>
              <w:t xml:space="preserve">-27.3%</w:t>
            </w:r>
          </w:p>
        </w:tc>
      </w:tr>
      <w:tr>
        <w:tc>
          <w:tcPr/>
          <w:p>
            <w:pPr>
              <w:pStyle w:val="Compact"/>
            </w:pPr>
            <w:r>
              <w:t xml:space="preserve">4Q</w:t>
            </w:r>
          </w:p>
        </w:tc>
        <w:tc>
          <w:tcPr/>
          <w:p>
            <w:pPr>
              <w:pStyle w:val="Compact"/>
            </w:pPr>
            <w:r>
              <w:t xml:space="preserve">Bull</w:t>
            </w:r>
          </w:p>
        </w:tc>
        <w:tc>
          <w:tcPr/>
          <w:p>
            <w:pPr>
              <w:pStyle w:val="Compact"/>
            </w:pPr>
            <w:r>
              <w:t xml:space="preserve">$730.05</w:t>
            </w:r>
          </w:p>
        </w:tc>
        <w:tc>
          <w:tcPr/>
          <w:p>
            <w:pPr>
              <w:pStyle w:val="Compact"/>
            </w:pPr>
            <w:r>
              <w:t xml:space="preserve">38.1%</w:t>
            </w:r>
          </w:p>
        </w:tc>
      </w:tr>
      <w:tr>
        <w:tc>
          <w:tcPr/>
          <w:p>
            <w:pPr>
              <w:pStyle w:val="Compact"/>
            </w:pPr>
            <w:r>
              <w:t xml:space="preserve">6Q</w:t>
            </w:r>
          </w:p>
        </w:tc>
        <w:tc>
          <w:tcPr/>
          <w:p>
            <w:pPr>
              <w:pStyle w:val="Compact"/>
            </w:pPr>
            <w:r>
              <w:t xml:space="preserve">Bear</w:t>
            </w:r>
          </w:p>
        </w:tc>
        <w:tc>
          <w:tcPr/>
          <w:p>
            <w:pPr>
              <w:pStyle w:val="Compact"/>
            </w:pPr>
            <w:r>
              <w:t xml:space="preserve">$143.43</w:t>
            </w:r>
          </w:p>
        </w:tc>
        <w:tc>
          <w:tcPr/>
          <w:p>
            <w:pPr>
              <w:pStyle w:val="Compact"/>
            </w:pPr>
            <w:r>
              <w:t xml:space="preserve">-72.9%</w:t>
            </w:r>
          </w:p>
        </w:tc>
      </w:tr>
      <w:tr>
        <w:tc>
          <w:tcPr/>
          <w:p>
            <w:pPr>
              <w:pStyle w:val="Compact"/>
            </w:pPr>
            <w:r>
              <w:t xml:space="preserve">6Q</w:t>
            </w:r>
          </w:p>
        </w:tc>
        <w:tc>
          <w:tcPr/>
          <w:p>
            <w:pPr>
              <w:pStyle w:val="Compact"/>
            </w:pPr>
            <w:r>
              <w:t xml:space="preserve">Base</w:t>
            </w:r>
          </w:p>
        </w:tc>
        <w:tc>
          <w:tcPr/>
          <w:p>
            <w:pPr>
              <w:pStyle w:val="Compact"/>
            </w:pPr>
            <w:r>
              <w:t xml:space="preserve">$486.09</w:t>
            </w:r>
          </w:p>
        </w:tc>
        <w:tc>
          <w:tcPr/>
          <w:p>
            <w:pPr>
              <w:pStyle w:val="Compact"/>
            </w:pPr>
            <w:r>
              <w:t xml:space="preserve">-8.1%</w:t>
            </w:r>
          </w:p>
        </w:tc>
      </w:tr>
      <w:tr>
        <w:tc>
          <w:tcPr/>
          <w:p>
            <w:pPr>
              <w:pStyle w:val="Compact"/>
            </w:pPr>
            <w:r>
              <w:t xml:space="preserve">6Q</w:t>
            </w:r>
          </w:p>
        </w:tc>
        <w:tc>
          <w:tcPr/>
          <w:p>
            <w:pPr>
              <w:pStyle w:val="Compact"/>
            </w:pPr>
            <w:r>
              <w:t xml:space="preserve">Bull</w:t>
            </w:r>
          </w:p>
        </w:tc>
        <w:tc>
          <w:tcPr/>
          <w:p>
            <w:pPr>
              <w:pStyle w:val="Compact"/>
            </w:pPr>
            <w:r>
              <w:t xml:space="preserve">$998.40</w:t>
            </w:r>
          </w:p>
        </w:tc>
        <w:tc>
          <w:tcPr/>
          <w:p>
            <w:pPr>
              <w:pStyle w:val="Compact"/>
            </w:pPr>
            <w:r>
              <w:t xml:space="preserve">88.8%</w:t>
            </w:r>
          </w:p>
        </w:tc>
      </w:tr>
      <w:tr>
        <w:tc>
          <w:tcPr/>
          <w:p>
            <w:pPr>
              <w:pStyle w:val="Compact"/>
            </w:pPr>
            <w:r>
              <w:t xml:space="preserve">8Q</w:t>
            </w:r>
          </w:p>
        </w:tc>
        <w:tc>
          <w:tcPr/>
          <w:p>
            <w:pPr>
              <w:pStyle w:val="Compact"/>
            </w:pPr>
            <w:r>
              <w:t xml:space="preserve">Bear</w:t>
            </w:r>
          </w:p>
        </w:tc>
        <w:tc>
          <w:tcPr/>
          <w:p>
            <w:pPr>
              <w:pStyle w:val="Compact"/>
            </w:pPr>
            <w:r>
              <w:t xml:space="preserve">$156.42</w:t>
            </w:r>
          </w:p>
        </w:tc>
        <w:tc>
          <w:tcPr/>
          <w:p>
            <w:pPr>
              <w:pStyle w:val="Compact"/>
            </w:pPr>
            <w:r>
              <w:t xml:space="preserve">-70.4%</w:t>
            </w:r>
          </w:p>
        </w:tc>
      </w:tr>
      <w:tr>
        <w:tc>
          <w:tcPr/>
          <w:p>
            <w:pPr>
              <w:pStyle w:val="Compact"/>
            </w:pPr>
            <w:r>
              <w:t xml:space="preserve">8Q</w:t>
            </w:r>
          </w:p>
        </w:tc>
        <w:tc>
          <w:tcPr/>
          <w:p>
            <w:pPr>
              <w:pStyle w:val="Compact"/>
            </w:pPr>
            <w:r>
              <w:t xml:space="preserve">Base</w:t>
            </w:r>
          </w:p>
        </w:tc>
        <w:tc>
          <w:tcPr/>
          <w:p>
            <w:pPr>
              <w:pStyle w:val="Compact"/>
            </w:pPr>
            <w:r>
              <w:t xml:space="preserve">$615.23</w:t>
            </w:r>
          </w:p>
        </w:tc>
        <w:tc>
          <w:tcPr/>
          <w:p>
            <w:pPr>
              <w:pStyle w:val="Compact"/>
            </w:pPr>
            <w:r>
              <w:t xml:space="preserve">16.4%</w:t>
            </w:r>
          </w:p>
        </w:tc>
      </w:tr>
      <w:tr>
        <w:tc>
          <w:tcPr/>
          <w:p>
            <w:pPr>
              <w:pStyle w:val="Compact"/>
            </w:pPr>
            <w:r>
              <w:t xml:space="preserve">8Q</w:t>
            </w:r>
          </w:p>
        </w:tc>
        <w:tc>
          <w:tcPr/>
          <w:p>
            <w:pPr>
              <w:pStyle w:val="Compact"/>
            </w:pPr>
            <w:r>
              <w:t xml:space="preserve">Bull</w:t>
            </w:r>
          </w:p>
        </w:tc>
        <w:tc>
          <w:tcPr/>
          <w:p>
            <w:pPr>
              <w:pStyle w:val="Compact"/>
            </w:pPr>
            <w:r>
              <w:t xml:space="preserve">$1,364.67</w:t>
            </w:r>
          </w:p>
        </w:tc>
        <w:tc>
          <w:tcPr/>
          <w:p>
            <w:pPr>
              <w:pStyle w:val="Compact"/>
            </w:pPr>
            <w:r>
              <w:t xml:space="preserve">158.1%</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41.2x</w:t>
            </w:r>
          </w:p>
        </w:tc>
      </w:tr>
      <w:tr>
        <w:tc>
          <w:tcPr/>
          <w:p>
            <w:pPr>
              <w:pStyle w:val="Compact"/>
            </w:pPr>
            <w:r>
              <w:t xml:space="preserve">4Q</w:t>
            </w:r>
          </w:p>
        </w:tc>
        <w:tc>
          <w:tcPr/>
          <w:p>
            <w:pPr>
              <w:pStyle w:val="Compact"/>
            </w:pPr>
            <w:r>
              <w:t xml:space="preserve">30.5x</w:t>
            </w:r>
          </w:p>
        </w:tc>
      </w:tr>
      <w:tr>
        <w:tc>
          <w:tcPr/>
          <w:p>
            <w:pPr>
              <w:pStyle w:val="Compact"/>
            </w:pPr>
            <w:r>
              <w:t xml:space="preserve">6Q</w:t>
            </w:r>
          </w:p>
        </w:tc>
        <w:tc>
          <w:tcPr/>
          <w:p>
            <w:pPr>
              <w:pStyle w:val="Compact"/>
            </w:pPr>
            <w:r>
              <w:t xml:space="preserve">22.6x</w:t>
            </w:r>
          </w:p>
        </w:tc>
      </w:tr>
      <w:tr>
        <w:tc>
          <w:tcPr/>
          <w:p>
            <w:pPr>
              <w:pStyle w:val="Compact"/>
            </w:pPr>
            <w:r>
              <w:t xml:space="preserve">8Q</w:t>
            </w:r>
          </w:p>
        </w:tc>
        <w:tc>
          <w:tcPr/>
          <w:p>
            <w:pPr>
              <w:pStyle w:val="Compact"/>
            </w:pPr>
            <w:r>
              <w:t xml:space="preserve">16.7x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37.4%</w:t>
            </w:r>
          </w:p>
        </w:tc>
        <w:tc>
          <w:tcPr/>
          <w:p>
            <w:pPr>
              <w:pStyle w:val="Compact"/>
            </w:pPr>
            <w:r>
              <w:t xml:space="preserve">20.0%</w:t>
            </w:r>
          </w:p>
        </w:tc>
        <w:tc>
          <w:tcPr/>
          <w:p>
            <w:pPr>
              <w:pStyle w:val="Compact"/>
            </w:pPr>
            <w:r>
              <w:t xml:space="preserve">14.1%</w:t>
            </w:r>
          </w:p>
        </w:tc>
        <w:tc>
          <w:tcPr/>
          <w:p>
            <w:pPr>
              <w:pStyle w:val="Compact"/>
            </w:pPr>
            <w:r>
              <w:t xml:space="preserve">2.5%</w:t>
            </w:r>
          </w:p>
        </w:tc>
        <w:tc>
          <w:tcPr/>
          <w:p>
            <w:pPr>
              <w:pStyle w:val="Compact"/>
            </w:pPr>
            <w:r>
              <w:t xml:space="preserve">25.0%</w:t>
            </w:r>
          </w:p>
        </w:tc>
        <w:tc>
          <w:tcPr/>
          <w:p>
            <w:pPr>
              <w:pStyle w:val="Compact"/>
            </w:pPr>
            <w:r>
              <w:t xml:space="preserve">$162.17</w:t>
            </w:r>
          </w:p>
        </w:tc>
        <w:tc>
          <w:tcPr/>
          <w:p>
            <w:pPr>
              <w:pStyle w:val="Compact"/>
            </w:pPr>
            <w:r>
              <w:t xml:space="preserve">-69.3%</w:t>
            </w:r>
          </w:p>
        </w:tc>
      </w:tr>
      <w:tr>
        <w:tc>
          <w:tcPr/>
          <w:p>
            <w:pPr>
              <w:pStyle w:val="Compact"/>
            </w:pPr>
            <w:r>
              <w:t xml:space="preserve">Base</w:t>
            </w:r>
          </w:p>
        </w:tc>
        <w:tc>
          <w:tcPr/>
          <w:p>
            <w:pPr>
              <w:pStyle w:val="Compact"/>
            </w:pPr>
            <w:r>
              <w:t xml:space="preserve">74.8%</w:t>
            </w:r>
          </w:p>
        </w:tc>
        <w:tc>
          <w:tcPr/>
          <w:p>
            <w:pPr>
              <w:pStyle w:val="Compact"/>
            </w:pPr>
            <w:r>
              <w:t xml:space="preserve">25.0%</w:t>
            </w:r>
          </w:p>
        </w:tc>
        <w:tc>
          <w:tcPr/>
          <w:p>
            <w:pPr>
              <w:pStyle w:val="Compact"/>
            </w:pPr>
            <w:r>
              <w:t xml:space="preserve">13.1%</w:t>
            </w:r>
          </w:p>
        </w:tc>
        <w:tc>
          <w:tcPr/>
          <w:p>
            <w:pPr>
              <w:pStyle w:val="Compact"/>
            </w:pPr>
            <w:r>
              <w:t xml:space="preserve">3.0%</w:t>
            </w:r>
          </w:p>
        </w:tc>
        <w:tc>
          <w:tcPr/>
          <w:p>
            <w:pPr>
              <w:pStyle w:val="Compact"/>
            </w:pPr>
            <w:r>
              <w:t xml:space="preserve">50.0%</w:t>
            </w:r>
          </w:p>
        </w:tc>
        <w:tc>
          <w:tcPr/>
          <w:p>
            <w:pPr>
              <w:pStyle w:val="Compact"/>
            </w:pPr>
            <w:r>
              <w:t xml:space="preserve">$767.70</w:t>
            </w:r>
          </w:p>
        </w:tc>
        <w:tc>
          <w:tcPr/>
          <w:p>
            <w:pPr>
              <w:pStyle w:val="Compact"/>
            </w:pPr>
            <w:r>
              <w:t xml:space="preserve">45.2%</w:t>
            </w:r>
          </w:p>
        </w:tc>
      </w:tr>
      <w:tr>
        <w:tc>
          <w:tcPr/>
          <w:p>
            <w:pPr>
              <w:pStyle w:val="Compact"/>
            </w:pPr>
            <w:r>
              <w:t xml:space="preserve">Bull</w:t>
            </w:r>
          </w:p>
        </w:tc>
        <w:tc>
          <w:tcPr/>
          <w:p>
            <w:pPr>
              <w:pStyle w:val="Compact"/>
            </w:pPr>
            <w:r>
              <w:t xml:space="preserve">97.2%</w:t>
            </w:r>
          </w:p>
        </w:tc>
        <w:tc>
          <w:tcPr/>
          <w:p>
            <w:pPr>
              <w:pStyle w:val="Compact"/>
            </w:pPr>
            <w:r>
              <w:t xml:space="preserve">28.7%</w:t>
            </w:r>
          </w:p>
        </w:tc>
        <w:tc>
          <w:tcPr/>
          <w:p>
            <w:pPr>
              <w:pStyle w:val="Compact"/>
            </w:pPr>
            <w:r>
              <w:t xml:space="preserve">12.6%</w:t>
            </w:r>
          </w:p>
        </w:tc>
        <w:tc>
          <w:tcPr/>
          <w:p>
            <w:pPr>
              <w:pStyle w:val="Compact"/>
            </w:pPr>
            <w:r>
              <w:t xml:space="preserve">3.5%</w:t>
            </w:r>
          </w:p>
        </w:tc>
        <w:tc>
          <w:tcPr/>
          <w:p>
            <w:pPr>
              <w:pStyle w:val="Compact"/>
            </w:pPr>
            <w:r>
              <w:t xml:space="preserve">25.0%</w:t>
            </w:r>
          </w:p>
        </w:tc>
        <w:tc>
          <w:tcPr/>
          <w:p>
            <w:pPr>
              <w:pStyle w:val="Compact"/>
            </w:pPr>
            <w:r>
              <w:t xml:space="preserve">$1,919.27</w:t>
            </w:r>
          </w:p>
        </w:tc>
        <w:tc>
          <w:tcPr/>
          <w:p>
            <w:pPr>
              <w:pStyle w:val="Compact"/>
            </w:pPr>
            <w:r>
              <w:t xml:space="preserve">263.0%</w:t>
            </w:r>
          </w:p>
        </w:tc>
      </w:tr>
    </w:tbl>
    <w:p>
      <w:pPr>
        <w:pStyle w:val="BodyText"/>
      </w:pPr>
      <w:r>
        <w:t xml:space="preserve">Probability-weighted value</w:t>
      </w:r>
      <w:r>
        <w:t xml:space="preserve"> </w:t>
      </w:r>
      <w:r>
        <w:rPr>
          <w:b/>
          <w:bCs/>
        </w:rPr>
        <w:t xml:space="preserve">$904.21</w:t>
      </w:r>
      <w:r>
        <w:t xml:space="preserve"> </w:t>
      </w:r>
      <w:r>
        <w:t xml:space="preserve">(71.0%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1,244.4 bn USD; terminal share 57.4%.</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62.8%</w:t>
      </w:r>
      <w:r>
        <w:t xml:space="preserve"> </w:t>
      </w:r>
      <w:r>
        <w:t xml:space="preserve">vs consensus FY+1 74.8%.</w:t>
      </w:r>
    </w:p>
    <w:p>
      <w:pPr>
        <w:pStyle w:val="Compact"/>
        <w:numPr>
          <w:ilvl w:val="0"/>
          <w:numId w:val="1013"/>
        </w:numPr>
      </w:pPr>
      <w:r>
        <w:t xml:space="preserve">WACC (CAPM) = rf 5.1% + β 1.60 × ERP 5.0% = 13.1%.</w:t>
      </w:r>
    </w:p>
    <w:p>
      <w:pPr>
        <w:pStyle w:val="Compact"/>
        <w:numPr>
          <w:ilvl w:val="0"/>
          <w:numId w:val="1013"/>
        </w:numPr>
      </w:pPr>
      <w:r>
        <w:t xml:space="preserve">SOTP segments: Data Center (EPYC+Instinct) </w:t>
      </w:r>
      <w:r>
        <w:rPr>
          <w:rFonts w:hint="eastAsia"/>
        </w:rPr>
        <w:t xml:space="preserve">数据中心;</w:t>
      </w:r>
      <w:r>
        <w:t xml:space="preserve"> Client </w:t>
      </w:r>
      <w:r>
        <w:rPr>
          <w:rFonts w:hint="eastAsia"/>
        </w:rPr>
        <w:t xml:space="preserve">客户端;</w:t>
      </w:r>
      <w:r>
        <w:t xml:space="preserve"> Gaming </w:t>
      </w:r>
      <w:r>
        <w:rPr>
          <w:rFonts w:hint="eastAsia"/>
        </w:rPr>
        <w:t xml:space="preserve">游戏;</w:t>
      </w:r>
      <w:r>
        <w:t xml:space="preserve"> Embedded </w:t>
      </w:r>
      <w:r>
        <w:rPr>
          <w:rFonts w:hint="eastAsia"/>
        </w:rPr>
        <w:t xml:space="preserve">嵌入式</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Delays; NVDA price aggression; client PC slowdown from memory </w:t>
      </w:r>
      <w:r>
        <w:rPr>
          <w:rFonts w:hint="eastAsia"/>
        </w:rPr>
        <w:t xml:space="preserve">costs｜延期；NVDA压价；存储涨价拖累PC</w:t>
      </w:r>
      <w:r>
        <w:t xml:space="preserve"> | Falsifiers: DC GPU revenue below guide; Helios slips past </w:t>
      </w:r>
      <w:r>
        <w:rPr>
          <w:rFonts w:hint="eastAsia"/>
        </w:rPr>
        <w:t xml:space="preserve">2H26｜DC</w:t>
      </w:r>
      <w:r>
        <w:t xml:space="preserve"> </w:t>
      </w:r>
      <w:r>
        <w:rPr>
          <w:rFonts w:hint="eastAsia"/>
        </w:rPr>
        <w:t xml:space="preserve">GPU收入低于指引；Helios延后</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AMD_model_v20261017-0755.xlsx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data/snapshots/20261017-0755</w:t>
      </w:r>
      <w:r>
        <w:t xml:space="preserve"> </w:t>
      </w:r>
      <w:r>
        <w:t xml:space="preserve">(immutable) | Fetched 2026-10-17 07:55 SGT | Generated 2026-10-17 07:57 SGT</w:t>
      </w:r>
      <w:r>
        <w:t xml:space="preserve"> </w:t>
      </w:r>
      <w:r>
        <w:t xml:space="preserve">- Version: v20261017-0755.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2026-10-16T23:58:24Z</dcterms:created>
  <dcterms:modified xsi:type="dcterms:W3CDTF">2026-10-16T23:58:24Z</dcterms:modified>
</cp:coreProperties>
</file>

<file path=docProps/custom.xml><?xml version="1.0" encoding="utf-8"?>
<Properties xmlns="http://schemas.openxmlformats.org/officeDocument/2006/custom-properties" xmlns:vt="http://schemas.openxmlformats.org/officeDocument/2006/docPropsVTypes"/>
</file>