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vgo-初学者教学版-中文-v20261017-0755"/>
    <w:p>
      <w:pPr>
        <w:pStyle w:val="Heading1"/>
      </w:pPr>
      <w:r>
        <w:t xml:space="preserve">AVGO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Broadcom Inc. </w:t>
      </w:r>
      <w:r>
        <w:rPr>
          <w:rFonts w:hint="eastAsia"/>
        </w:rPr>
        <w:t xml:space="preserve">是一家</w:t>
      </w:r>
      <w:r>
        <w:t xml:space="preserve">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$328.75。我们的Base模型认为每股价值约</w:t>
      </w:r>
      <w:r>
        <w:t xml:space="preserve"> </w:t>
      </w:r>
      <w:r>
        <w:rPr>
          <w:rFonts w:hint="eastAsia"/>
        </w:rPr>
        <w:t xml:space="preserve">$788（139.7%）。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rPr>
          <w:rFonts w:hint="eastAsia"/>
        </w:rPr>
        <w:t xml:space="preserve">]（实际、预期、超预期%）。下次财报约</w:t>
      </w:r>
      <w:r>
        <w:t xml:space="preserve"> 2026-12-10。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89.1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64.2%；m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45.0%；W</w:t>
      </w:r>
      <w:r>
        <w:t xml:space="preserve"> = WACC = 12.5%。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146.3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44.2% </w:t>
      </w:r>
      <w:r>
        <w:rPr>
          <w:rFonts w:hint="eastAsia"/>
        </w:rPr>
        <w:t xml:space="preserve">向</w:t>
      </w:r>
      <w:r>
        <w:t xml:space="preserve"> 45.0% </w:t>
      </w:r>
      <w:r>
        <w:rPr>
          <w:rFonts w:hint="eastAsia"/>
        </w:rPr>
        <w:t xml:space="preserve">线性过渡）=</w:t>
      </w:r>
      <w:r>
        <w:t xml:space="preserve"> 64.9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57.7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3,796.5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45.0%、三情景。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64.2%；价格隐含增速</w:t>
      </w:r>
      <w:r>
        <w:t xml:space="preserve"> 38.3%。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$182 / Base $788 / Bull </w:t>
      </w:r>
      <w:r>
        <w:rPr>
          <w:rFonts w:hint="eastAsia"/>
        </w:rPr>
        <w:t xml:space="preserve">$1,863；概率加权</w:t>
      </w:r>
      <w:r>
        <w:t xml:space="preserve"> $905。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dd7ae6ccf025c791784d35d3b00032783c8a39"/>
    <w:p>
      <w:pPr>
        <w:pStyle w:val="Heading1"/>
      </w:pPr>
      <w:r>
        <w:t xml:space="preserve">AVGO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Broadcom Inc. is a Custom AI ASIC + networking + infrastructure software </w:t>
      </w:r>
      <w:r>
        <w:rPr>
          <w:rFonts w:hint="eastAsia"/>
        </w:rPr>
        <w:t xml:space="preserve">定制AI芯片+网络+软件</w:t>
      </w:r>
      <w:r>
        <w:t xml:space="preserve"> company. Price $328.75; our Base model value ≈ $788 (139.7%).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‘3.32’</w:t>
      </w:r>
      <w:r>
        <w:t xml:space="preserve">,</w:t>
      </w:r>
      <w:r>
        <w:t xml:space="preserve"> </w:t>
      </w:r>
      <w:r>
        <w:t xml:space="preserve">‘3.238’</w:t>
      </w:r>
      <w:r>
        <w:t xml:space="preserve">,</w:t>
      </w:r>
      <w:r>
        <w:t xml:space="preserve"> </w:t>
      </w:r>
      <w:r>
        <w:t xml:space="preserve">‘0.0253’</w:t>
      </w:r>
      <w:r>
        <w:t xml:space="preserve">]. Next earnings ≈ 2026-12-10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89.1 bn USD; g₁ = 64.2%; m = long-run FCF margin = 45.0%; W = 12.5%.</w:t>
      </w:r>
      <w:r>
        <w:t xml:space="preserve"> </w:t>
      </w:r>
      <w:r>
        <w:t xml:space="preserve">R₁ = R₀×(1+g₁) = 146.3 bn USD; FCF₁ = 64.9 bn USD; PV = FCF₁/(1+W) = 57.7 bn USD; 10 years + terminal → EV 3,796.5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64.2%; price-implied growth 38.3%.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$182 / Base $788 / Bull $1,863; weighted $905.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Customer in-sourcing (e.g., MediaTek on TPU), lumpy AI revenue, debt from </w:t>
      </w:r>
      <w:r>
        <w:rPr>
          <w:rFonts w:hint="eastAsia"/>
        </w:rPr>
        <w:t xml:space="preserve">VMware｜客户转单、AI收入波动、VMware债务</w:t>
      </w:r>
      <w:r>
        <w:t xml:space="preserve"> — Falsifiers: AI semi revenue guide decelerates; key XPU customer shifts vendor; VMware revenue </w:t>
      </w:r>
      <w:r>
        <w:rPr>
          <w:rFonts w:hint="eastAsia"/>
        </w:rPr>
        <w:t xml:space="preserve">declines｜AI半导体指引放缓；主要XPU客户转供应商；VMware收入下降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AVGO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2026-10-16T23:57:39Z</dcterms:created>
  <dcterms:modified xsi:type="dcterms:W3CDTF">2026-10-16T23:57:39Z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