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28.png" ContentType="image/png"/>
  <Override PartName="/word/media/rId3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c12225d0725443d1751ac96f1fe63261255721d"/>
    <w:p>
      <w:pPr>
        <w:pStyle w:val="Heading1"/>
      </w:pPr>
      <w:r>
        <w:t xml:space="preserve">CIEN Ciena Corporation — </w:t>
      </w:r>
      <w:r>
        <w:rPr>
          <w:rFonts w:hint="eastAsia"/>
        </w:rPr>
        <w:t xml:space="preserve">个股深度研究</w:t>
      </w:r>
      <w:r>
        <w:t xml:space="preserve"> </w:t>
      </w:r>
      <w:r>
        <w:rPr>
          <w:rFonts w:hint="eastAsia"/>
        </w:rPr>
        <w:t xml:space="preserve">(专业中文版)</w:t>
      </w:r>
      <w:r>
        <w:t xml:space="preserve"> v20261017-0755</w:t>
      </w:r>
    </w:p>
    <w:p>
      <w:pPr>
        <w:pStyle w:val="BlockText"/>
      </w:pPr>
      <w:r>
        <w:rPr>
          <w:rFonts w:hint="eastAsia"/>
        </w:rPr>
        <w:t xml:space="preserve">数据截至</w:t>
      </w:r>
      <w:r>
        <w:t xml:space="preserve"> 2026-10-17 07:55 </w:t>
      </w:r>
      <w:r>
        <w:rPr>
          <w:rFonts w:hint="eastAsia"/>
        </w:rPr>
        <w:t xml:space="preserve">SGT｜价格</w:t>
      </w:r>
      <w:r>
        <w:t xml:space="preserve"> </w:t>
      </w:r>
      <w:r>
        <w:rPr>
          <w:rFonts w:hint="eastAsia"/>
        </w:rPr>
        <w:t xml:space="preserve">$332.73｜市值</w:t>
      </w:r>
      <w:r>
        <w:t xml:space="preserve"> 47.2 bn </w:t>
      </w:r>
      <w:r>
        <w:rPr>
          <w:rFonts w:hint="eastAsia"/>
        </w:rPr>
        <w:t xml:space="preserve">USD｜财报货币</w:t>
      </w:r>
      <w:r>
        <w:t xml:space="preserve"> </w:t>
      </w:r>
      <w:r>
        <w:rPr>
          <w:rFonts w:hint="eastAsia"/>
        </w:rPr>
        <w:t xml:space="preserve">USD｜非投资建议。事实=CONFIRMED/DATA；推断=INFERENCE；假设=ASSUMPTION/HYPOTHESIS。</w:t>
      </w:r>
    </w:p>
    <w:bookmarkStart w:id="9" w:name="投资论点-investment-thesis-hypothesis"/>
    <w:p>
      <w:pPr>
        <w:pStyle w:val="Heading2"/>
      </w:pPr>
      <w:r>
        <w:t xml:space="preserve">1. </w:t>
      </w:r>
      <w:r>
        <w:rPr>
          <w:rFonts w:hint="eastAsia"/>
        </w:rPr>
        <w:t xml:space="preserve">投资论点</w:t>
      </w:r>
      <w:r>
        <w:t xml:space="preserve"> Investment Thesis (HYPOTHESIS)</w:t>
      </w:r>
    </w:p>
    <w:p>
      <w:pPr>
        <w:pStyle w:val="FirstParagraph"/>
      </w:pPr>
      <w:r>
        <w:rPr>
          <w:rFonts w:hint="eastAsia"/>
        </w:rPr>
        <w:t xml:space="preserve">AI训练集群跨园区互连(scale-across)推动Ciena</w:t>
      </w:r>
      <w:r>
        <w:t xml:space="preserve"> </w:t>
      </w:r>
      <w:r>
        <w:rPr>
          <w:rFonts w:hint="eastAsia"/>
        </w:rPr>
        <w:t xml:space="preserve">800G/1.6T相干光需求；从运营商周期股转向云厂成长股。</w:t>
      </w:r>
    </w:p>
    <w:p>
      <w:pPr>
        <w:pStyle w:val="Compact"/>
        <w:numPr>
          <w:ilvl w:val="0"/>
          <w:numId w:val="1001"/>
        </w:numPr>
      </w:pPr>
      <w:r>
        <w:rPr>
          <w:rFonts w:hint="eastAsia"/>
          <w:b/>
          <w:bCs/>
        </w:rPr>
        <w:t xml:space="preserve">多头驱动</w:t>
      </w:r>
      <w:r>
        <w:t xml:space="preserve">: Hyperscaler &gt;50% of revenue; pluggables and in-DC </w:t>
      </w:r>
      <w:r>
        <w:rPr>
          <w:rFonts w:hint="eastAsia"/>
        </w:rPr>
        <w:t xml:space="preserve">opportunities｜云厂收入占比超半；可插拔与机房内机会</w:t>
      </w:r>
    </w:p>
    <w:p>
      <w:pPr>
        <w:pStyle w:val="Compact"/>
        <w:numPr>
          <w:ilvl w:val="0"/>
          <w:numId w:val="1001"/>
        </w:numPr>
      </w:pPr>
      <w:r>
        <w:rPr>
          <w:rFonts w:hint="eastAsia"/>
          <w:b/>
          <w:bCs/>
        </w:rPr>
        <w:t xml:space="preserve">空头驱动</w:t>
      </w:r>
      <w:r>
        <w:t xml:space="preserve">: Carrier spending weak; competition from </w:t>
      </w:r>
      <w:r>
        <w:rPr>
          <w:rFonts w:hint="eastAsia"/>
        </w:rPr>
        <w:t xml:space="preserve">Nokia/Infinera｜运营商开支疲弱；诺基亚竞争</w:t>
      </w:r>
    </w:p>
    <w:p>
      <w:pPr>
        <w:pStyle w:val="Compact"/>
        <w:numPr>
          <w:ilvl w:val="0"/>
          <w:numId w:val="1001"/>
        </w:numPr>
      </w:pPr>
      <w:r>
        <w:rPr>
          <w:rFonts w:hint="eastAsia"/>
          <w:b/>
          <w:bCs/>
        </w:rPr>
        <w:t xml:space="preserve">证伪条件</w:t>
      </w:r>
      <w:r>
        <w:rPr>
          <w:b/>
          <w:bCs/>
        </w:rPr>
        <w:t xml:space="preserve"> Falsifiers</w:t>
      </w:r>
      <w:r>
        <w:t xml:space="preserve">: Order book/backlog falls; GM not </w:t>
      </w:r>
      <w:r>
        <w:rPr>
          <w:rFonts w:hint="eastAsia"/>
        </w:rPr>
        <w:t xml:space="preserve">improving｜订单/积压下降；毛利不改善</w:t>
      </w:r>
    </w:p>
    <w:bookmarkEnd w:id="9"/>
    <w:bookmarkStart w:id="10" w:name="产品客户与收入模式"/>
    <w:p>
      <w:pPr>
        <w:pStyle w:val="Heading2"/>
      </w:pPr>
      <w:r>
        <w:t xml:space="preserve">2. </w:t>
      </w:r>
      <w:r>
        <w:rPr>
          <w:rFonts w:hint="eastAsia"/>
        </w:rPr>
        <w:t xml:space="preserve">产品、客户与收入模式</w:t>
      </w:r>
    </w:p>
    <w:p>
      <w:pPr>
        <w:pStyle w:val="Compact"/>
        <w:numPr>
          <w:ilvl w:val="0"/>
          <w:numId w:val="1002"/>
        </w:numPr>
      </w:pPr>
      <w:r>
        <w:rPr>
          <w:rFonts w:hint="eastAsia"/>
        </w:rPr>
        <w:t xml:space="preserve">主题</w:t>
      </w:r>
      <w:r>
        <w:t xml:space="preserve"> Theme: Optical networking systems </w:t>
      </w:r>
      <w:r>
        <w:rPr>
          <w:rFonts w:hint="eastAsia"/>
        </w:rPr>
        <w:t xml:space="preserve">光网络系统</w:t>
      </w:r>
    </w:p>
    <w:p>
      <w:pPr>
        <w:pStyle w:val="Compact"/>
        <w:numPr>
          <w:ilvl w:val="0"/>
          <w:numId w:val="1002"/>
        </w:numPr>
      </w:pPr>
      <w:r>
        <w:rPr>
          <w:rFonts w:hint="eastAsia"/>
        </w:rPr>
        <w:t xml:space="preserve">业务分部</w:t>
      </w:r>
      <w:r>
        <w:t xml:space="preserve"> Segments: Networking platforms </w:t>
      </w:r>
      <w:r>
        <w:rPr>
          <w:rFonts w:hint="eastAsia"/>
        </w:rPr>
        <w:t xml:space="preserve">网络平台；Platform</w:t>
      </w:r>
      <w:r>
        <w:t xml:space="preserve"> software &amp; services </w:t>
      </w:r>
      <w:r>
        <w:rPr>
          <w:rFonts w:hint="eastAsia"/>
        </w:rPr>
        <w:t xml:space="preserve">软件服务；Blue</w:t>
      </w:r>
      <w:r>
        <w:t xml:space="preserve"> Planet</w:t>
      </w:r>
    </w:p>
    <w:p>
      <w:pPr>
        <w:pStyle w:val="Compact"/>
        <w:numPr>
          <w:ilvl w:val="0"/>
          <w:numId w:val="1002"/>
        </w:numPr>
      </w:pPr>
      <w:r>
        <w:rPr>
          <w:rFonts w:hint="eastAsia"/>
        </w:rPr>
        <w:t xml:space="preserve">公司描述</w:t>
      </w:r>
      <w:r>
        <w:t xml:space="preserve"> (DATA, </w:t>
      </w:r>
      <w:r>
        <w:rPr>
          <w:rFonts w:hint="eastAsia"/>
        </w:rPr>
        <w:t xml:space="preserve">Yahoo/公司申报):</w:t>
      </w:r>
      <w:r>
        <w:t xml:space="preserve"> Ciena Corporation, a network technology company, provides hardware, software, and services for various network operators in the Americas, Europe, the Middle East, Africa, the Asia Pacific, Japan, and India. It operates through Networking Platforms, Platform Software and Services, Blue Planet Automation Software and Services, and Global Services segments. The Networking Platforms segment consists optical networking, routing, and switching products and services. This segment products include the 6500 Packet-Optical Platform, Waveserver modular interconnect system, the 6500 Reconfigurable Line System, and coherent pluggable transceivers; and the 3000 family of service delivery platforms and the 5000 family of service aggregation, as well as the 8100 Coherent Routing platforms and virtualization software. The Platform Software and Services segment offers navigator network control suite; and</w:t>
      </w:r>
    </w:p>
    <w:p>
      <w:pPr>
        <w:pStyle w:val="Compact"/>
        <w:numPr>
          <w:ilvl w:val="0"/>
          <w:numId w:val="1002"/>
        </w:numPr>
      </w:pPr>
      <w:r>
        <w:rPr>
          <w:rFonts w:hint="eastAsia"/>
        </w:rPr>
        <w:t xml:space="preserve">主要客户:</w:t>
      </w:r>
      <w:r>
        <w:t xml:space="preserve"> Telecom carriers, hyperscalers (DCI), cable </w:t>
      </w:r>
      <w:r>
        <w:rPr>
          <w:rFonts w:hint="eastAsia"/>
        </w:rPr>
        <w:t xml:space="preserve">operators｜运营商、云厂(数据中心互连)、有线电视</w:t>
      </w:r>
    </w:p>
    <w:bookmarkEnd w:id="10"/>
    <w:bookmarkStart w:id="11" w:name="行业竞争监管与供应链-analyst-framework"/>
    <w:p>
      <w:pPr>
        <w:pStyle w:val="Heading2"/>
      </w:pPr>
      <w:r>
        <w:t xml:space="preserve">3. </w:t>
      </w:r>
      <w:r>
        <w:rPr>
          <w:rFonts w:hint="eastAsia"/>
        </w:rPr>
        <w:t xml:space="preserve">行业、竞争、监管与供应链</w:t>
      </w:r>
      <w:r>
        <w:t xml:space="preserve"> (ANALYST FRAMEWORK)</w:t>
      </w:r>
    </w:p>
    <w:p>
      <w:pPr>
        <w:pStyle w:val="Compact"/>
        <w:numPr>
          <w:ilvl w:val="0"/>
          <w:numId w:val="1003"/>
        </w:numPr>
      </w:pPr>
      <w:r>
        <w:rPr>
          <w:rFonts w:hint="eastAsia"/>
        </w:rPr>
        <w:t xml:space="preserve">供应商/上游:</w:t>
      </w:r>
      <w:r>
        <w:t xml:space="preserve"> In-house WaveLogic DSP (TSMC), lasers, </w:t>
      </w:r>
      <w:r>
        <w:rPr>
          <w:rFonts w:hint="eastAsia"/>
        </w:rPr>
        <w:t xml:space="preserve">components｜自研WaveLogic</w:t>
      </w:r>
      <w:r>
        <w:t xml:space="preserve"> </w:t>
      </w:r>
      <w:r>
        <w:rPr>
          <w:rFonts w:hint="eastAsia"/>
        </w:rPr>
        <w:t xml:space="preserve">DSP、激光器</w:t>
      </w:r>
    </w:p>
    <w:p>
      <w:pPr>
        <w:pStyle w:val="Compact"/>
        <w:numPr>
          <w:ilvl w:val="0"/>
          <w:numId w:val="1003"/>
        </w:numPr>
      </w:pPr>
      <w:r>
        <w:rPr>
          <w:rFonts w:hint="eastAsia"/>
        </w:rPr>
        <w:t xml:space="preserve">竞争者</w:t>
      </w:r>
      <w:r>
        <w:t xml:space="preserve"> </w:t>
      </w:r>
      <w:r>
        <w:rPr>
          <w:rFonts w:hint="eastAsia"/>
        </w:rPr>
        <w:t xml:space="preserve">(含业外):</w:t>
      </w:r>
      <w:r>
        <w:t xml:space="preserve"> Nokia (Infinera), Cisco (Acacia), Huawei, Coherent </w:t>
      </w:r>
      <w:r>
        <w:rPr>
          <w:rFonts w:hint="eastAsia"/>
        </w:rPr>
        <w:t xml:space="preserve">pluggables｜诺基亚、思科、华为、Coherent</w:t>
      </w:r>
    </w:p>
    <w:p>
      <w:pPr>
        <w:pStyle w:val="Compact"/>
        <w:numPr>
          <w:ilvl w:val="0"/>
          <w:numId w:val="1003"/>
        </w:numPr>
      </w:pPr>
      <w:r>
        <w:rPr>
          <w:rFonts w:hint="eastAsia"/>
        </w:rPr>
        <w:t xml:space="preserve">瓶颈/监管:</w:t>
      </w:r>
      <w:r>
        <w:t xml:space="preserve"> Component supply, hyperscaler DCI </w:t>
      </w:r>
      <w:r>
        <w:rPr>
          <w:rFonts w:hint="eastAsia"/>
        </w:rPr>
        <w:t xml:space="preserve">cycles｜器件供应、云厂DCI周期</w:t>
      </w:r>
    </w:p>
    <w:p>
      <w:pPr>
        <w:pStyle w:val="Compact"/>
        <w:numPr>
          <w:ilvl w:val="0"/>
          <w:numId w:val="1003"/>
        </w:numPr>
      </w:pPr>
      <w:r>
        <w:rPr>
          <w:rFonts w:hint="eastAsia"/>
        </w:rPr>
        <w:t xml:space="preserve">关键KPI:</w:t>
      </w:r>
      <w:r>
        <w:t xml:space="preserve"> Revenue, cloud mix, GM%, </w:t>
      </w:r>
      <w:r>
        <w:rPr>
          <w:rFonts w:hint="eastAsia"/>
        </w:rPr>
        <w:t xml:space="preserve">backlog｜收入、云占比、毛利率、积压</w:t>
      </w:r>
    </w:p>
    <w:p>
      <w:pPr>
        <w:pStyle w:val="Compact"/>
        <w:numPr>
          <w:ilvl w:val="0"/>
          <w:numId w:val="1003"/>
        </w:numPr>
      </w:pPr>
      <w:r>
        <w:rPr>
          <w:rFonts w:hint="eastAsia"/>
        </w:rPr>
        <w:t xml:space="preserve">零部件现货/合约价:</w:t>
      </w:r>
      <w:r>
        <w:t xml:space="preserve"> </w:t>
      </w:r>
      <w:r>
        <w:rPr>
          <w:rFonts w:hint="eastAsia"/>
        </w:rPr>
        <w:t xml:space="preserve">本版未接入付费价格源(TrendForce/DRAMeXchange等)——标注</w:t>
      </w:r>
      <w:r>
        <w:t xml:space="preserve"> </w:t>
      </w:r>
      <w:r>
        <w:rPr>
          <w:b/>
          <w:bCs/>
        </w:rPr>
        <w:t xml:space="preserve">UNAVAILABLE</w:t>
      </w:r>
      <w:r>
        <w:rPr>
          <w:rFonts w:hint="eastAsia"/>
        </w:rPr>
        <w:t xml:space="preserve">，在KPI监控中以定性方式跟踪。</w:t>
      </w:r>
    </w:p>
    <w:bookmarkEnd w:id="11"/>
    <w:bookmarkStart w:id="12" w:name="历史财务与现金流-confirmed-季度-usd"/>
    <w:p>
      <w:pPr>
        <w:pStyle w:val="Heading2"/>
      </w:pPr>
      <w:r>
        <w:t xml:space="preserve">4. </w:t>
      </w:r>
      <w:r>
        <w:rPr>
          <w:rFonts w:hint="eastAsia"/>
        </w:rPr>
        <w:t xml:space="preserve">历史财务与现金流</w:t>
      </w:r>
      <w:r>
        <w:t xml:space="preserve"> (CONFIRMED, </w:t>
      </w:r>
      <w:r>
        <w:rPr>
          <w:rFonts w:hint="eastAsia"/>
        </w:rPr>
        <w:t xml:space="preserve">季度,</w:t>
      </w:r>
      <w:r>
        <w:t xml:space="preserve">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季度</w:t>
            </w:r>
          </w:p>
        </w:tc>
        <w:tc>
          <w:tcPr/>
          <w:p>
            <w:pPr>
              <w:pStyle w:val="Compact"/>
            </w:pPr>
            <w:r>
              <w:rPr>
                <w:rFonts w:hint="eastAsia"/>
              </w:rPr>
              <w:t xml:space="preserve">收入</w:t>
            </w:r>
          </w:p>
        </w:tc>
        <w:tc>
          <w:tcPr/>
          <w:p>
            <w:pPr>
              <w:pStyle w:val="Compact"/>
            </w:pPr>
            <w:r>
              <w:rPr>
                <w:rFonts w:hint="eastAsia"/>
              </w:rPr>
              <w:t xml:space="preserve">毛利</w:t>
            </w:r>
          </w:p>
        </w:tc>
        <w:tc>
          <w:tcPr/>
          <w:p>
            <w:pPr>
              <w:pStyle w:val="Compact"/>
            </w:pPr>
            <w:r>
              <w:rPr>
                <w:rFonts w:hint="eastAsia"/>
              </w:rPr>
              <w:t xml:space="preserve">营业利润</w:t>
            </w:r>
          </w:p>
        </w:tc>
        <w:tc>
          <w:tcPr/>
          <w:p>
            <w:pPr>
              <w:pStyle w:val="Compact"/>
            </w:pPr>
            <w:r>
              <w:rPr>
                <w:rFonts w:hint="eastAsia"/>
              </w:rPr>
              <w:t xml:space="preserve">净利润</w:t>
            </w:r>
          </w:p>
        </w:tc>
        <w:tc>
          <w:tcPr/>
          <w:p>
            <w:pPr>
              <w:pStyle w:val="Compact"/>
            </w:pPr>
            <w:r>
              <w:t xml:space="preserve">FCF</w:t>
            </w:r>
          </w:p>
        </w:tc>
        <w:tc>
          <w:tcPr/>
          <w:p>
            <w:pPr>
              <w:pStyle w:val="Compact"/>
            </w:pPr>
            <w:r>
              <w:rPr>
                <w:rFonts w:hint="eastAsia"/>
              </w:rPr>
              <w:t xml:space="preserve">营业利润率</w:t>
            </w:r>
          </w:p>
        </w:tc>
      </w:tr>
      <w:tr>
        <w:tc>
          <w:tcPr/>
          <w:p>
            <w:pPr>
              <w:pStyle w:val="Compact"/>
            </w:pPr>
            <w:r>
              <w:t xml:space="preserve">2026-07-31</w:t>
            </w:r>
          </w:p>
        </w:tc>
        <w:tc>
          <w:tcPr/>
          <w:p>
            <w:pPr>
              <w:pStyle w:val="Compact"/>
            </w:pPr>
            <w:r>
              <w:t xml:space="preserve">1.7 bn USD</w:t>
            </w:r>
          </w:p>
        </w:tc>
        <w:tc>
          <w:tcPr/>
          <w:p>
            <w:pPr>
              <w:pStyle w:val="Compact"/>
            </w:pPr>
            <w:r>
              <w:t xml:space="preserve">0.8 bn USD</w:t>
            </w:r>
          </w:p>
        </w:tc>
        <w:tc>
          <w:tcPr/>
          <w:p>
            <w:pPr>
              <w:pStyle w:val="Compact"/>
            </w:pPr>
            <w:r>
              <w:t xml:space="preserve">0.3 bn USD</w:t>
            </w:r>
          </w:p>
        </w:tc>
        <w:tc>
          <w:tcPr/>
          <w:p>
            <w:pPr>
              <w:pStyle w:val="Compact"/>
            </w:pPr>
            <w:r>
              <w:t xml:space="preserve">0.3 bn USD</w:t>
            </w:r>
          </w:p>
        </w:tc>
        <w:tc>
          <w:tcPr/>
          <w:p>
            <w:pPr>
              <w:pStyle w:val="Compact"/>
            </w:pPr>
            <w:r>
              <w:t xml:space="preserve">0.1 bn USD</w:t>
            </w:r>
          </w:p>
        </w:tc>
        <w:tc>
          <w:tcPr/>
          <w:p>
            <w:pPr>
              <w:pStyle w:val="Compact"/>
            </w:pPr>
            <w:r>
              <w:t xml:space="preserve">18.1%</w:t>
            </w:r>
          </w:p>
        </w:tc>
      </w:tr>
      <w:tr>
        <w:tc>
          <w:tcPr/>
          <w:p>
            <w:pPr>
              <w:pStyle w:val="Compact"/>
            </w:pPr>
            <w:r>
              <w:t xml:space="preserve">2026-04-30</w:t>
            </w:r>
          </w:p>
        </w:tc>
        <w:tc>
          <w:tcPr/>
          <w:p>
            <w:pPr>
              <w:pStyle w:val="Compact"/>
            </w:pPr>
            <w:r>
              <w:t xml:space="preserve">1.6 bn USD</w:t>
            </w:r>
          </w:p>
        </w:tc>
        <w:tc>
          <w:tcPr/>
          <w:p>
            <w:pPr>
              <w:pStyle w:val="Compact"/>
            </w:pPr>
            <w:r>
              <w:t xml:space="preserve">0.7 bn USD</w:t>
            </w:r>
          </w:p>
        </w:tc>
        <w:tc>
          <w:tcPr/>
          <w:p>
            <w:pPr>
              <w:pStyle w:val="Compact"/>
            </w:pPr>
            <w:r>
              <w:t xml:space="preserve">0.2 bn USD</w:t>
            </w:r>
          </w:p>
        </w:tc>
        <w:tc>
          <w:tcPr/>
          <w:p>
            <w:pPr>
              <w:pStyle w:val="Compact"/>
            </w:pPr>
            <w:r>
              <w:t xml:space="preserve">0.2 bn USD</w:t>
            </w:r>
          </w:p>
        </w:tc>
        <w:tc>
          <w:tcPr/>
          <w:p>
            <w:pPr>
              <w:pStyle w:val="Compact"/>
            </w:pPr>
            <w:r>
              <w:t xml:space="preserve">0.2 bn USD</w:t>
            </w:r>
          </w:p>
        </w:tc>
        <w:tc>
          <w:tcPr/>
          <w:p>
            <w:pPr>
              <w:pStyle w:val="Compact"/>
            </w:pPr>
            <w:r>
              <w:t xml:space="preserve">15.2%</w:t>
            </w:r>
          </w:p>
        </w:tc>
      </w:tr>
      <w:tr>
        <w:tc>
          <w:tcPr/>
          <w:p>
            <w:pPr>
              <w:pStyle w:val="Compact"/>
            </w:pPr>
            <w:r>
              <w:t xml:space="preserve">2026-01-31</w:t>
            </w:r>
          </w:p>
        </w:tc>
        <w:tc>
          <w:tcPr/>
          <w:p>
            <w:pPr>
              <w:pStyle w:val="Compact"/>
            </w:pPr>
            <w:r>
              <w:t xml:space="preserve">1.4 bn USD</w:t>
            </w:r>
          </w:p>
        </w:tc>
        <w:tc>
          <w:tcPr/>
          <w:p>
            <w:pPr>
              <w:pStyle w:val="Compact"/>
            </w:pPr>
            <w:r>
              <w:t xml:space="preserve">0.6 bn USD</w:t>
            </w:r>
          </w:p>
        </w:tc>
        <w:tc>
          <w:tcPr/>
          <w:p>
            <w:pPr>
              <w:pStyle w:val="Compact"/>
            </w:pPr>
            <w:r>
              <w:t xml:space="preserve">0.2 bn USD</w:t>
            </w:r>
          </w:p>
        </w:tc>
        <w:tc>
          <w:tcPr/>
          <w:p>
            <w:pPr>
              <w:pStyle w:val="Compact"/>
            </w:pPr>
            <w:r>
              <w:t xml:space="preserve">0.2 bn USD</w:t>
            </w:r>
          </w:p>
        </w:tc>
        <w:tc>
          <w:tcPr/>
          <w:p>
            <w:pPr>
              <w:pStyle w:val="Compact"/>
            </w:pPr>
            <w:r>
              <w:t xml:space="preserve">0.2 bn USD</w:t>
            </w:r>
          </w:p>
        </w:tc>
        <w:tc>
          <w:tcPr/>
          <w:p>
            <w:pPr>
              <w:pStyle w:val="Compact"/>
            </w:pPr>
            <w:r>
              <w:t xml:space="preserve">13.4%</w:t>
            </w:r>
          </w:p>
        </w:tc>
      </w:tr>
      <w:tr>
        <w:tc>
          <w:tcPr/>
          <w:p>
            <w:pPr>
              <w:pStyle w:val="Compact"/>
            </w:pPr>
            <w:r>
              <w:t xml:space="preserve">2025-10-31</w:t>
            </w:r>
          </w:p>
        </w:tc>
        <w:tc>
          <w:tcPr/>
          <w:p>
            <w:pPr>
              <w:pStyle w:val="Compact"/>
            </w:pPr>
            <w:r>
              <w:t xml:space="preserve">1.4 bn USD</w:t>
            </w:r>
          </w:p>
        </w:tc>
        <w:tc>
          <w:tcPr/>
          <w:p>
            <w:pPr>
              <w:pStyle w:val="Compact"/>
            </w:pPr>
            <w:r>
              <w:t xml:space="preserve">0.6 bn USD</w:t>
            </w:r>
          </w:p>
        </w:tc>
        <w:tc>
          <w:tcPr/>
          <w:p>
            <w:pPr>
              <w:pStyle w:val="Compact"/>
            </w:pPr>
            <w:r>
              <w:t xml:space="preserve">0.1 bn USD</w:t>
            </w:r>
          </w:p>
        </w:tc>
        <w:tc>
          <w:tcPr/>
          <w:p>
            <w:pPr>
              <w:pStyle w:val="Compact"/>
            </w:pPr>
            <w:r>
              <w:t xml:space="preserve">19.5 mn USD</w:t>
            </w:r>
          </w:p>
        </w:tc>
        <w:tc>
          <w:tcPr/>
          <w:p>
            <w:pPr>
              <w:pStyle w:val="Compact"/>
            </w:pPr>
            <w:r>
              <w:t xml:space="preserve">0.3 bn USD</w:t>
            </w:r>
          </w:p>
        </w:tc>
        <w:tc>
          <w:tcPr/>
          <w:p>
            <w:pPr>
              <w:pStyle w:val="Compact"/>
            </w:pPr>
            <w:r>
              <w:t xml:space="preserve">8.8%</w:t>
            </w:r>
          </w:p>
        </w:tc>
      </w:tr>
      <w:tr>
        <w:tc>
          <w:tcPr/>
          <w:p>
            <w:pPr>
              <w:pStyle w:val="Compact"/>
            </w:pPr>
            <w:r>
              <w:t xml:space="preserve">2025-07-31</w:t>
            </w:r>
          </w:p>
        </w:tc>
        <w:tc>
          <w:tcPr/>
          <w:p>
            <w:pPr>
              <w:pStyle w:val="Compact"/>
            </w:pPr>
            <w:r>
              <w:t xml:space="preserve">1.2 bn USD</w:t>
            </w:r>
          </w:p>
        </w:tc>
        <w:tc>
          <w:tcPr/>
          <w:p>
            <w:pPr>
              <w:pStyle w:val="Compact"/>
            </w:pPr>
            <w:r>
              <w:t xml:space="preserve">0.5 bn USD</w:t>
            </w:r>
          </w:p>
        </w:tc>
        <w:tc>
          <w:tcPr/>
          <w:p>
            <w:pPr>
              <w:pStyle w:val="Compact"/>
            </w:pPr>
            <w:r>
              <w:t xml:space="preserve">75.3 mn USD</w:t>
            </w:r>
          </w:p>
        </w:tc>
        <w:tc>
          <w:tcPr/>
          <w:p>
            <w:pPr>
              <w:pStyle w:val="Compact"/>
            </w:pPr>
            <w:r>
              <w:t xml:space="preserve">50.3 mn USD</w:t>
            </w:r>
          </w:p>
        </w:tc>
        <w:tc>
          <w:tcPr/>
          <w:p>
            <w:pPr>
              <w:pStyle w:val="Compact"/>
            </w:pPr>
            <w:r>
              <w:t xml:space="preserve">0.1 bn USD</w:t>
            </w:r>
          </w:p>
        </w:tc>
        <w:tc>
          <w:tcPr/>
          <w:p>
            <w:pPr>
              <w:pStyle w:val="Compact"/>
            </w:pPr>
            <w:r>
              <w:t xml:space="preserve">6.2%</w:t>
            </w:r>
          </w:p>
        </w:tc>
      </w:tr>
      <w:tr>
        <w:tc>
          <w:tcPr/>
          <w:p>
            <w:pPr>
              <w:pStyle w:val="Compact"/>
            </w:pPr>
            <w:r>
              <w:t xml:space="preserve">2025-04-30</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r>
        <w:tc>
          <w:tcPr/>
          <w:p>
            <w:pPr>
              <w:pStyle w:val="Compact"/>
            </w:pPr>
            <w:r>
              <w:t xml:space="preserve">2025-01-31</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rPr>
          <w:rFonts w:hint="eastAsia"/>
        </w:rPr>
        <w:t xml:space="preserve">资产负债:</w:t>
      </w:r>
      <w:r>
        <w:t xml:space="preserve"> </w:t>
      </w:r>
      <w:r>
        <w:rPr>
          <w:rFonts w:hint="eastAsia"/>
        </w:rPr>
        <w:t xml:space="preserve">现金</w:t>
      </w:r>
      <w:r>
        <w:t xml:space="preserve"> 2.6 bn </w:t>
      </w:r>
      <w:r>
        <w:rPr>
          <w:rFonts w:hint="eastAsia"/>
        </w:rPr>
        <w:t xml:space="preserve">USD；总负债</w:t>
      </w:r>
      <w:r>
        <w:t xml:space="preserve"> 3.3 bn </w:t>
      </w:r>
      <w:r>
        <w:rPr>
          <w:rFonts w:hint="eastAsia"/>
        </w:rPr>
        <w:t xml:space="preserve">USD；净现金</w:t>
      </w:r>
      <w:r>
        <w:t xml:space="preserve"> -0.7 bn USD。TTM FCF 0.8 bn </w:t>
      </w:r>
      <w:r>
        <w:rPr>
          <w:rFonts w:hint="eastAsia"/>
        </w:rPr>
        <w:t xml:space="preserve">USD（FCF率</w:t>
      </w:r>
      <w:r>
        <w:t xml:space="preserve"> </w:t>
      </w:r>
      <w:r>
        <w:rPr>
          <w:rFonts w:hint="eastAsia"/>
        </w:rPr>
        <w:t xml:space="preserve">13.5%）。</w:t>
      </w:r>
    </w:p>
    <w:bookmarkEnd w:id="12"/>
    <w:bookmarkStart w:id="13" w:name="最新财报-实际-vs-一致预期-vs-指引"/>
    <w:p>
      <w:pPr>
        <w:pStyle w:val="Heading2"/>
      </w:pPr>
      <w:r>
        <w:t xml:space="preserve">5. </w:t>
      </w:r>
      <w:r>
        <w:rPr>
          <w:rFonts w:hint="eastAsia"/>
        </w:rPr>
        <w:t xml:space="preserve">最新财报:</w:t>
      </w:r>
      <w:r>
        <w:t xml:space="preserve"> </w:t>
      </w:r>
      <w:r>
        <w:rPr>
          <w:rFonts w:hint="eastAsia"/>
        </w:rPr>
        <w:t xml:space="preserve">实际</w:t>
      </w:r>
      <w:r>
        <w:t xml:space="preserve"> vs </w:t>
      </w:r>
      <w:r>
        <w:rPr>
          <w:rFonts w:hint="eastAsia"/>
        </w:rPr>
        <w:t xml:space="preserve">一致预期</w:t>
      </w:r>
      <w:r>
        <w:t xml:space="preserve"> vs </w:t>
      </w:r>
      <w:r>
        <w:rPr>
          <w:rFonts w:hint="eastAsia"/>
        </w:rPr>
        <w:t xml:space="preserve">指引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季度</w:t>
            </w:r>
          </w:p>
        </w:tc>
        <w:tc>
          <w:tcPr/>
          <w:p>
            <w:pPr>
              <w:pStyle w:val="Compact"/>
            </w:pPr>
            <w:r>
              <w:rPr>
                <w:rFonts w:hint="eastAsia"/>
              </w:rPr>
              <w:t xml:space="preserve">EPS实际</w:t>
            </w:r>
          </w:p>
        </w:tc>
        <w:tc>
          <w:tcPr/>
          <w:p>
            <w:pPr>
              <w:pStyle w:val="Compact"/>
            </w:pPr>
            <w:r>
              <w:rPr>
                <w:rFonts w:hint="eastAsia"/>
              </w:rPr>
              <w:t xml:space="preserve">EPS一致预期</w:t>
            </w:r>
          </w:p>
        </w:tc>
        <w:tc>
          <w:tcPr/>
          <w:p>
            <w:pPr>
              <w:pStyle w:val="Compact"/>
            </w:pPr>
            <w:r>
              <w:rPr>
                <w:rFonts w:hint="eastAsia"/>
              </w:rPr>
              <w:t xml:space="preserve">超预期%</w:t>
            </w:r>
          </w:p>
        </w:tc>
      </w:tr>
      <w:tr>
        <w:tc>
          <w:tcPr/>
          <w:p>
            <w:pPr>
              <w:pStyle w:val="Compact"/>
            </w:pPr>
            <w:r>
              <w:t xml:space="preserve">2025-10-31</w:t>
            </w:r>
          </w:p>
        </w:tc>
        <w:tc>
          <w:tcPr/>
          <w:p>
            <w:pPr>
              <w:pStyle w:val="Compact"/>
            </w:pPr>
            <w:r>
              <w:t xml:space="preserve">0.91</w:t>
            </w:r>
          </w:p>
        </w:tc>
        <w:tc>
          <w:tcPr/>
          <w:p>
            <w:pPr>
              <w:pStyle w:val="Compact"/>
            </w:pPr>
            <w:r>
              <w:t xml:space="preserve">0.76964</w:t>
            </w:r>
          </w:p>
        </w:tc>
        <w:tc>
          <w:tcPr/>
          <w:p>
            <w:pPr>
              <w:pStyle w:val="Compact"/>
            </w:pPr>
            <w:r>
              <w:t xml:space="preserve">0.1824</w:t>
            </w:r>
          </w:p>
        </w:tc>
      </w:tr>
      <w:tr>
        <w:tc>
          <w:tcPr/>
          <w:p>
            <w:pPr>
              <w:pStyle w:val="Compact"/>
            </w:pPr>
            <w:r>
              <w:t xml:space="preserve">2026-01-31</w:t>
            </w:r>
          </w:p>
        </w:tc>
        <w:tc>
          <w:tcPr/>
          <w:p>
            <w:pPr>
              <w:pStyle w:val="Compact"/>
            </w:pPr>
            <w:r>
              <w:t xml:space="preserve">1.35</w:t>
            </w:r>
          </w:p>
        </w:tc>
        <w:tc>
          <w:tcPr/>
          <w:p>
            <w:pPr>
              <w:pStyle w:val="Compact"/>
            </w:pPr>
            <w:r>
              <w:t xml:space="preserve">1.16833</w:t>
            </w:r>
          </w:p>
        </w:tc>
        <w:tc>
          <w:tcPr/>
          <w:p>
            <w:pPr>
              <w:pStyle w:val="Compact"/>
            </w:pPr>
            <w:r>
              <w:t xml:space="preserve">0.1555</w:t>
            </w:r>
          </w:p>
        </w:tc>
      </w:tr>
      <w:tr>
        <w:tc>
          <w:tcPr/>
          <w:p>
            <w:pPr>
              <w:pStyle w:val="Compact"/>
            </w:pPr>
            <w:r>
              <w:t xml:space="preserve">2026-04-30</w:t>
            </w:r>
          </w:p>
        </w:tc>
        <w:tc>
          <w:tcPr/>
          <w:p>
            <w:pPr>
              <w:pStyle w:val="Compact"/>
            </w:pPr>
            <w:r>
              <w:t xml:space="preserve">1.64</w:t>
            </w:r>
          </w:p>
        </w:tc>
        <w:tc>
          <w:tcPr/>
          <w:p>
            <w:pPr>
              <w:pStyle w:val="Compact"/>
            </w:pPr>
            <w:r>
              <w:t xml:space="preserve">1.45989</w:t>
            </w:r>
          </w:p>
        </w:tc>
        <w:tc>
          <w:tcPr/>
          <w:p>
            <w:pPr>
              <w:pStyle w:val="Compact"/>
            </w:pPr>
            <w:r>
              <w:t xml:space="preserve">0.1234</w:t>
            </w:r>
          </w:p>
        </w:tc>
      </w:tr>
      <w:tr>
        <w:tc>
          <w:tcPr/>
          <w:p>
            <w:pPr>
              <w:pStyle w:val="Compact"/>
            </w:pPr>
            <w:r>
              <w:t xml:space="preserve">2026-07-31</w:t>
            </w:r>
          </w:p>
        </w:tc>
        <w:tc>
          <w:tcPr/>
          <w:p>
            <w:pPr>
              <w:pStyle w:val="Compact"/>
            </w:pPr>
            <w:r>
              <w:t xml:space="preserve">2.11</w:t>
            </w:r>
          </w:p>
        </w:tc>
        <w:tc>
          <w:tcPr/>
          <w:p>
            <w:pPr>
              <w:pStyle w:val="Compact"/>
            </w:pPr>
            <w:r>
              <w:t xml:space="preserve">1.72756</w:t>
            </w:r>
          </w:p>
        </w:tc>
        <w:tc>
          <w:tcPr/>
          <w:p>
            <w:pPr>
              <w:pStyle w:val="Compact"/>
            </w:pPr>
            <w:r>
              <w:t xml:space="preserve">0.2214</w:t>
            </w:r>
          </w:p>
        </w:tc>
      </w:tr>
    </w:tbl>
    <w:p>
      <w:pPr>
        <w:pStyle w:val="Compact"/>
        <w:numPr>
          <w:ilvl w:val="0"/>
          <w:numId w:val="1004"/>
        </w:numPr>
      </w:pPr>
      <w:r>
        <w:rPr>
          <w:rFonts w:hint="eastAsia"/>
        </w:rPr>
        <w:t xml:space="preserve">管理层指引</w:t>
      </w:r>
      <w:r>
        <w:t xml:space="preserve"> Guidance: </w:t>
      </w:r>
      <w:r>
        <w:rPr>
          <w:rFonts w:hint="eastAsia"/>
        </w:rPr>
        <w:t xml:space="preserve">自动数据源不含指引——</w:t>
      </w:r>
      <w:r>
        <w:rPr>
          <w:rFonts w:hint="eastAsia"/>
          <w:b/>
          <w:bCs/>
        </w:rPr>
        <w:t xml:space="preserve">UNAVAILABLE（待从公司IR新闻稿录入）</w:t>
      </w:r>
      <w:r>
        <w:t xml:space="preserve">。</w:t>
      </w:r>
    </w:p>
    <w:p>
      <w:pPr>
        <w:pStyle w:val="Compact"/>
        <w:numPr>
          <w:ilvl w:val="0"/>
          <w:numId w:val="1004"/>
        </w:numPr>
      </w:pPr>
      <w:r>
        <w:rPr>
          <w:rFonts w:hint="eastAsia"/>
        </w:rPr>
        <w:t xml:space="preserve">下次财报日</w:t>
      </w:r>
      <w:r>
        <w:t xml:space="preserve"> (Yahoo, TENTATIVE </w:t>
      </w:r>
      <w:r>
        <w:rPr>
          <w:rFonts w:hint="eastAsia"/>
        </w:rPr>
        <w:t xml:space="preserve">直至公司确认):</w:t>
      </w:r>
      <w:r>
        <w:t xml:space="preserve"> </w:t>
      </w:r>
      <w:r>
        <w:rPr>
          <w:b/>
          <w:bCs/>
        </w:rPr>
        <w:t xml:space="preserve">2026-09-03</w:t>
      </w:r>
      <w:r>
        <w:rPr>
          <w:rFonts w:hint="eastAsia"/>
        </w:rPr>
        <w:t xml:space="preserve">；本季EPS一致预期</w:t>
      </w:r>
      <w:r>
        <w:t xml:space="preserve"> </w:t>
      </w:r>
      <w:r>
        <w:rPr>
          <w:rFonts w:hint="eastAsia"/>
        </w:rPr>
        <w:t xml:space="preserve">1.61699（5位分析师）；收入一致预期</w:t>
      </w:r>
      <w:r>
        <w:t xml:space="preserve"> 1.8 bn USD。</w:t>
      </w:r>
    </w:p>
    <w:bookmarkEnd w:id="13"/>
    <w:bookmarkStart w:id="14" w:name="未来2468季度驱动与价格合理性"/>
    <w:p>
      <w:pPr>
        <w:pStyle w:val="Heading2"/>
      </w:pPr>
      <w:r>
        <w:t xml:space="preserve">6. </w:t>
      </w:r>
      <w:r>
        <w:rPr>
          <w:rFonts w:hint="eastAsia"/>
        </w:rPr>
        <w:t xml:space="preserve">未来2/4/6/8季度驱动与价格合理性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期限</w:t>
            </w:r>
          </w:p>
        </w:tc>
        <w:tc>
          <w:tcPr/>
          <w:p>
            <w:pPr>
              <w:pStyle w:val="Compact"/>
            </w:pPr>
            <w:r>
              <w:rPr>
                <w:rFonts w:hint="eastAsia"/>
              </w:rPr>
              <w:t xml:space="preserve">情景</w:t>
            </w:r>
          </w:p>
        </w:tc>
        <w:tc>
          <w:tcPr/>
          <w:p>
            <w:pPr>
              <w:pStyle w:val="Compact"/>
            </w:pPr>
            <w:r>
              <w:rPr>
                <w:rFonts w:hint="eastAsia"/>
              </w:rPr>
              <w:t xml:space="preserve">期限价格现值</w:t>
            </w:r>
          </w:p>
        </w:tc>
        <w:tc>
          <w:tcPr/>
          <w:p>
            <w:pPr>
              <w:pStyle w:val="Compact"/>
            </w:pPr>
            <w:r>
              <w:rPr>
                <w:rFonts w:hint="eastAsia"/>
              </w:rPr>
              <w:t xml:space="preserve">相对现价</w:t>
            </w:r>
          </w:p>
        </w:tc>
      </w:tr>
      <w:tr>
        <w:tc>
          <w:tcPr/>
          <w:p>
            <w:pPr>
              <w:pStyle w:val="Compact"/>
            </w:pPr>
            <w:r>
              <w:t xml:space="preserve">2Q</w:t>
            </w:r>
          </w:p>
        </w:tc>
        <w:tc>
          <w:tcPr/>
          <w:p>
            <w:pPr>
              <w:pStyle w:val="Compact"/>
            </w:pPr>
            <w:r>
              <w:t xml:space="preserve">Bear</w:t>
            </w:r>
          </w:p>
        </w:tc>
        <w:tc>
          <w:tcPr/>
          <w:p>
            <w:pPr>
              <w:pStyle w:val="Compact"/>
            </w:pPr>
            <w:r>
              <w:t xml:space="preserve">$92.98</w:t>
            </w:r>
          </w:p>
        </w:tc>
        <w:tc>
          <w:tcPr/>
          <w:p>
            <w:pPr>
              <w:pStyle w:val="Compact"/>
            </w:pPr>
            <w:r>
              <w:t xml:space="preserve">-72.1%</w:t>
            </w:r>
          </w:p>
        </w:tc>
      </w:tr>
      <w:tr>
        <w:tc>
          <w:tcPr/>
          <w:p>
            <w:pPr>
              <w:pStyle w:val="Compact"/>
            </w:pPr>
            <w:r>
              <w:t xml:space="preserve">2Q</w:t>
            </w:r>
          </w:p>
        </w:tc>
        <w:tc>
          <w:tcPr/>
          <w:p>
            <w:pPr>
              <w:pStyle w:val="Compact"/>
            </w:pPr>
            <w:r>
              <w:t xml:space="preserve">Base</w:t>
            </w:r>
          </w:p>
        </w:tc>
        <w:tc>
          <w:tcPr/>
          <w:p>
            <w:pPr>
              <w:pStyle w:val="Compact"/>
            </w:pPr>
            <w:r>
              <w:t xml:space="preserve">$205.93</w:t>
            </w:r>
          </w:p>
        </w:tc>
        <w:tc>
          <w:tcPr/>
          <w:p>
            <w:pPr>
              <w:pStyle w:val="Compact"/>
            </w:pPr>
            <w:r>
              <w:t xml:space="preserve">-38.1%</w:t>
            </w:r>
          </w:p>
        </w:tc>
      </w:tr>
      <w:tr>
        <w:tc>
          <w:tcPr/>
          <w:p>
            <w:pPr>
              <w:pStyle w:val="Compact"/>
            </w:pPr>
            <w:r>
              <w:t xml:space="preserve">2Q</w:t>
            </w:r>
          </w:p>
        </w:tc>
        <w:tc>
          <w:tcPr/>
          <w:p>
            <w:pPr>
              <w:pStyle w:val="Compact"/>
            </w:pPr>
            <w:r>
              <w:t xml:space="preserve">Bull</w:t>
            </w:r>
          </w:p>
        </w:tc>
        <w:tc>
          <w:tcPr/>
          <w:p>
            <w:pPr>
              <w:pStyle w:val="Compact"/>
            </w:pPr>
            <w:r>
              <w:t xml:space="preserve">$338.43</w:t>
            </w:r>
          </w:p>
        </w:tc>
        <w:tc>
          <w:tcPr/>
          <w:p>
            <w:pPr>
              <w:pStyle w:val="Compact"/>
            </w:pPr>
            <w:r>
              <w:t xml:space="preserve">1.7%</w:t>
            </w:r>
          </w:p>
        </w:tc>
      </w:tr>
      <w:tr>
        <w:tc>
          <w:tcPr/>
          <w:p>
            <w:pPr>
              <w:pStyle w:val="Compact"/>
            </w:pPr>
            <w:r>
              <w:t xml:space="preserve">4Q</w:t>
            </w:r>
          </w:p>
        </w:tc>
        <w:tc>
          <w:tcPr/>
          <w:p>
            <w:pPr>
              <w:pStyle w:val="Compact"/>
            </w:pPr>
            <w:r>
              <w:t xml:space="preserve">Bear</w:t>
            </w:r>
          </w:p>
        </w:tc>
        <w:tc>
          <w:tcPr/>
          <w:p>
            <w:pPr>
              <w:pStyle w:val="Compact"/>
            </w:pPr>
            <w:r>
              <w:t xml:space="preserve">$93.33</w:t>
            </w:r>
          </w:p>
        </w:tc>
        <w:tc>
          <w:tcPr/>
          <w:p>
            <w:pPr>
              <w:pStyle w:val="Compact"/>
            </w:pPr>
            <w:r>
              <w:t xml:space="preserve">-72.0%</w:t>
            </w:r>
          </w:p>
        </w:tc>
      </w:tr>
      <w:tr>
        <w:tc>
          <w:tcPr/>
          <w:p>
            <w:pPr>
              <w:pStyle w:val="Compact"/>
            </w:pPr>
            <w:r>
              <w:t xml:space="preserve">4Q</w:t>
            </w:r>
          </w:p>
        </w:tc>
        <w:tc>
          <w:tcPr/>
          <w:p>
            <w:pPr>
              <w:pStyle w:val="Compact"/>
            </w:pPr>
            <w:r>
              <w:t xml:space="preserve">Base</w:t>
            </w:r>
          </w:p>
        </w:tc>
        <w:tc>
          <w:tcPr/>
          <w:p>
            <w:pPr>
              <w:pStyle w:val="Compact"/>
            </w:pPr>
            <w:r>
              <w:t xml:space="preserve">$226.11</w:t>
            </w:r>
          </w:p>
        </w:tc>
        <w:tc>
          <w:tcPr/>
          <w:p>
            <w:pPr>
              <w:pStyle w:val="Compact"/>
            </w:pPr>
            <w:r>
              <w:t xml:space="preserve">-32.0%</w:t>
            </w:r>
          </w:p>
        </w:tc>
      </w:tr>
      <w:tr>
        <w:tc>
          <w:tcPr/>
          <w:p>
            <w:pPr>
              <w:pStyle w:val="Compact"/>
            </w:pPr>
            <w:r>
              <w:t xml:space="preserve">4Q</w:t>
            </w:r>
          </w:p>
        </w:tc>
        <w:tc>
          <w:tcPr/>
          <w:p>
            <w:pPr>
              <w:pStyle w:val="Compact"/>
            </w:pPr>
            <w:r>
              <w:t xml:space="preserve">Bull</w:t>
            </w:r>
          </w:p>
        </w:tc>
        <w:tc>
          <w:tcPr/>
          <w:p>
            <w:pPr>
              <w:pStyle w:val="Compact"/>
            </w:pPr>
            <w:r>
              <w:t xml:space="preserve">$390.85</w:t>
            </w:r>
          </w:p>
        </w:tc>
        <w:tc>
          <w:tcPr/>
          <w:p>
            <w:pPr>
              <w:pStyle w:val="Compact"/>
            </w:pPr>
            <w:r>
              <w:t xml:space="preserve">17.5%</w:t>
            </w:r>
          </w:p>
        </w:tc>
      </w:tr>
      <w:tr>
        <w:tc>
          <w:tcPr/>
          <w:p>
            <w:pPr>
              <w:pStyle w:val="Compact"/>
            </w:pPr>
            <w:r>
              <w:t xml:space="preserve">6Q</w:t>
            </w:r>
          </w:p>
        </w:tc>
        <w:tc>
          <w:tcPr/>
          <w:p>
            <w:pPr>
              <w:pStyle w:val="Compact"/>
            </w:pPr>
            <w:r>
              <w:t xml:space="preserve">Bear</w:t>
            </w:r>
          </w:p>
        </w:tc>
        <w:tc>
          <w:tcPr/>
          <w:p>
            <w:pPr>
              <w:pStyle w:val="Compact"/>
            </w:pPr>
            <w:r>
              <w:t xml:space="preserve">$93.65</w:t>
            </w:r>
          </w:p>
        </w:tc>
        <w:tc>
          <w:tcPr/>
          <w:p>
            <w:pPr>
              <w:pStyle w:val="Compact"/>
            </w:pPr>
            <w:r>
              <w:t xml:space="preserve">-71.9%</w:t>
            </w:r>
          </w:p>
        </w:tc>
      </w:tr>
      <w:tr>
        <w:tc>
          <w:tcPr/>
          <w:p>
            <w:pPr>
              <w:pStyle w:val="Compact"/>
            </w:pPr>
            <w:r>
              <w:t xml:space="preserve">6Q</w:t>
            </w:r>
          </w:p>
        </w:tc>
        <w:tc>
          <w:tcPr/>
          <w:p>
            <w:pPr>
              <w:pStyle w:val="Compact"/>
            </w:pPr>
            <w:r>
              <w:t xml:space="preserve">Base</w:t>
            </w:r>
          </w:p>
        </w:tc>
        <w:tc>
          <w:tcPr/>
          <w:p>
            <w:pPr>
              <w:pStyle w:val="Compact"/>
            </w:pPr>
            <w:r>
              <w:t xml:space="preserve">$248.15</w:t>
            </w:r>
          </w:p>
        </w:tc>
        <w:tc>
          <w:tcPr/>
          <w:p>
            <w:pPr>
              <w:pStyle w:val="Compact"/>
            </w:pPr>
            <w:r>
              <w:t xml:space="preserve">-25.4%</w:t>
            </w:r>
          </w:p>
        </w:tc>
      </w:tr>
      <w:tr>
        <w:tc>
          <w:tcPr/>
          <w:p>
            <w:pPr>
              <w:pStyle w:val="Compact"/>
            </w:pPr>
            <w:r>
              <w:t xml:space="preserve">6Q</w:t>
            </w:r>
          </w:p>
        </w:tc>
        <w:tc>
          <w:tcPr/>
          <w:p>
            <w:pPr>
              <w:pStyle w:val="Compact"/>
            </w:pPr>
            <w:r>
              <w:t xml:space="preserve">Bull</w:t>
            </w:r>
          </w:p>
        </w:tc>
        <w:tc>
          <w:tcPr/>
          <w:p>
            <w:pPr>
              <w:pStyle w:val="Compact"/>
            </w:pPr>
            <w:r>
              <w:t xml:space="preserve">$450.92</w:t>
            </w:r>
          </w:p>
        </w:tc>
        <w:tc>
          <w:tcPr/>
          <w:p>
            <w:pPr>
              <w:pStyle w:val="Compact"/>
            </w:pPr>
            <w:r>
              <w:t xml:space="preserve">35.5%</w:t>
            </w:r>
          </w:p>
        </w:tc>
      </w:tr>
      <w:tr>
        <w:tc>
          <w:tcPr/>
          <w:p>
            <w:pPr>
              <w:pStyle w:val="Compact"/>
            </w:pPr>
            <w:r>
              <w:t xml:space="preserve">8Q</w:t>
            </w:r>
          </w:p>
        </w:tc>
        <w:tc>
          <w:tcPr/>
          <w:p>
            <w:pPr>
              <w:pStyle w:val="Compact"/>
            </w:pPr>
            <w:r>
              <w:t xml:space="preserve">Bear</w:t>
            </w:r>
          </w:p>
        </w:tc>
        <w:tc>
          <w:tcPr/>
          <w:p>
            <w:pPr>
              <w:pStyle w:val="Compact"/>
            </w:pPr>
            <w:r>
              <w:t xml:space="preserve">$93.95</w:t>
            </w:r>
          </w:p>
        </w:tc>
        <w:tc>
          <w:tcPr/>
          <w:p>
            <w:pPr>
              <w:pStyle w:val="Compact"/>
            </w:pPr>
            <w:r>
              <w:t xml:space="preserve">-71.8%</w:t>
            </w:r>
          </w:p>
        </w:tc>
      </w:tr>
      <w:tr>
        <w:tc>
          <w:tcPr/>
          <w:p>
            <w:pPr>
              <w:pStyle w:val="Compact"/>
            </w:pPr>
            <w:r>
              <w:t xml:space="preserve">8Q</w:t>
            </w:r>
          </w:p>
        </w:tc>
        <w:tc>
          <w:tcPr/>
          <w:p>
            <w:pPr>
              <w:pStyle w:val="Compact"/>
            </w:pPr>
            <w:r>
              <w:t xml:space="preserve">Base</w:t>
            </w:r>
          </w:p>
        </w:tc>
        <w:tc>
          <w:tcPr/>
          <w:p>
            <w:pPr>
              <w:pStyle w:val="Compact"/>
            </w:pPr>
            <w:r>
              <w:t xml:space="preserve">$272.21</w:t>
            </w:r>
          </w:p>
        </w:tc>
        <w:tc>
          <w:tcPr/>
          <w:p>
            <w:pPr>
              <w:pStyle w:val="Compact"/>
            </w:pPr>
            <w:r>
              <w:t xml:space="preserve">-18.2%</w:t>
            </w:r>
          </w:p>
        </w:tc>
      </w:tr>
      <w:tr>
        <w:tc>
          <w:tcPr/>
          <w:p>
            <w:pPr>
              <w:pStyle w:val="Compact"/>
            </w:pPr>
            <w:r>
              <w:t xml:space="preserve">8Q</w:t>
            </w:r>
          </w:p>
        </w:tc>
        <w:tc>
          <w:tcPr/>
          <w:p>
            <w:pPr>
              <w:pStyle w:val="Compact"/>
            </w:pPr>
            <w:r>
              <w:t xml:space="preserve">Bull</w:t>
            </w:r>
          </w:p>
        </w:tc>
        <w:tc>
          <w:tcPr/>
          <w:p>
            <w:pPr>
              <w:pStyle w:val="Compact"/>
            </w:pPr>
            <w:r>
              <w:t xml:space="preserve">$519.75</w:t>
            </w:r>
          </w:p>
        </w:tc>
        <w:tc>
          <w:tcPr/>
          <w:p>
            <w:pPr>
              <w:pStyle w:val="Compact"/>
            </w:pPr>
            <w:r>
              <w:t xml:space="preserve">56.2%</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现价隐含的</w:t>
            </w:r>
            <w:r>
              <w:t xml:space="preserve"> EV/NTM-FCF (Base </w:t>
            </w:r>
            <w:r>
              <w:rPr>
                <w:rFonts w:hint="eastAsia"/>
              </w:rPr>
              <w:t xml:space="preserve">路径):</w:t>
            </w:r>
          </w:p>
        </w:tc>
        <w:tc>
          <w:tcPr/>
          <w:p>
            <w:pPr>
              <w:pStyle w:val="Compact"/>
            </w:pPr>
            <w:r>
              <w:rPr>
                <w:rFonts w:hint="eastAsia"/>
              </w:rPr>
              <w:t xml:space="preserve">期限</w:t>
            </w:r>
          </w:p>
        </w:tc>
      </w:tr>
      <w:tr>
        <w:tc>
          <w:tcPr/>
          <w:p>
            <w:pPr>
              <w:pStyle w:val="Compact"/>
            </w:pPr>
            <w:r>
              <w:t xml:space="preserve">2Q</w:t>
            </w:r>
          </w:p>
        </w:tc>
        <w:tc>
          <w:tcPr/>
          <w:p>
            <w:pPr>
              <w:pStyle w:val="Compact"/>
            </w:pPr>
            <w:r>
              <w:t xml:space="preserve">38.0x</w:t>
            </w:r>
          </w:p>
        </w:tc>
      </w:tr>
      <w:tr>
        <w:tc>
          <w:tcPr/>
          <w:p>
            <w:pPr>
              <w:pStyle w:val="Compact"/>
            </w:pPr>
            <w:r>
              <w:t xml:space="preserve">4Q</w:t>
            </w:r>
          </w:p>
        </w:tc>
        <w:tc>
          <w:tcPr/>
          <w:p>
            <w:pPr>
              <w:pStyle w:val="Compact"/>
            </w:pPr>
            <w:r>
              <w:t xml:space="preserve">32.8x</w:t>
            </w:r>
          </w:p>
        </w:tc>
      </w:tr>
      <w:tr>
        <w:tc>
          <w:tcPr/>
          <w:p>
            <w:pPr>
              <w:pStyle w:val="Compact"/>
            </w:pPr>
            <w:r>
              <w:t xml:space="preserve">6Q</w:t>
            </w:r>
          </w:p>
        </w:tc>
        <w:tc>
          <w:tcPr/>
          <w:p>
            <w:pPr>
              <w:pStyle w:val="Compact"/>
            </w:pPr>
            <w:r>
              <w:t xml:space="preserve">28.4x</w:t>
            </w:r>
          </w:p>
        </w:tc>
      </w:tr>
      <w:tr>
        <w:tc>
          <w:tcPr/>
          <w:p>
            <w:pPr>
              <w:pStyle w:val="Compact"/>
            </w:pPr>
            <w:r>
              <w:t xml:space="preserve">8Q</w:t>
            </w:r>
          </w:p>
        </w:tc>
        <w:tc>
          <w:tcPr/>
          <w:p>
            <w:pPr>
              <w:pStyle w:val="Compact"/>
            </w:pPr>
            <w:r>
              <w:t xml:space="preserve">24.6x</w:t>
            </w:r>
          </w:p>
        </w:tc>
      </w:tr>
    </w:tbl>
    <w:p>
      <w:pPr>
        <w:pStyle w:val="BodyText"/>
      </w:pPr>
      <w:r>
        <w:rPr>
          <w:rFonts w:hint="eastAsia"/>
        </w:rPr>
        <w:t xml:space="preserve">解读:</w:t>
      </w:r>
      <w:r>
        <w:t xml:space="preserve"> </w:t>
      </w:r>
      <w:r>
        <w:rPr>
          <w:rFonts w:hint="eastAsia"/>
        </w:rPr>
        <w:t xml:space="preserve">如果8季度后Base情景所需倍数仍远高于25x，说明价格依赖更远期的增长。</w:t>
      </w:r>
    </w:p>
    <w:bookmarkEnd w:id="14"/>
    <w:bookmarkStart w:id="15" w:name="三情景-bear-base-bull-hypothesis"/>
    <w:p>
      <w:pPr>
        <w:pStyle w:val="Heading2"/>
      </w:pPr>
      <w:r>
        <w:t xml:space="preserve">7. </w:t>
      </w:r>
      <w:r>
        <w:rPr>
          <w:rFonts w:hint="eastAsia"/>
        </w:rPr>
        <w:t xml:space="preserve">三情景</w:t>
      </w:r>
      <w:r>
        <w:t xml:space="preserve">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情景</w:t>
            </w:r>
          </w:p>
        </w:tc>
        <w:tc>
          <w:tcPr/>
          <w:p>
            <w:pPr>
              <w:pStyle w:val="Compact"/>
            </w:pPr>
            <w:r>
              <w:rPr>
                <w:rFonts w:hint="eastAsia"/>
              </w:rPr>
              <w:t xml:space="preserve">Y1增速</w:t>
            </w:r>
          </w:p>
        </w:tc>
        <w:tc>
          <w:tcPr/>
          <w:p>
            <w:pPr>
              <w:pStyle w:val="Compact"/>
            </w:pPr>
            <w:r>
              <w:rPr>
                <w:rFonts w:hint="eastAsia"/>
              </w:rPr>
              <w:t xml:space="preserve">长期FCF率</w:t>
            </w:r>
          </w:p>
        </w:tc>
        <w:tc>
          <w:tcPr/>
          <w:p>
            <w:pPr>
              <w:pStyle w:val="Compact"/>
            </w:pPr>
            <w:r>
              <w:t xml:space="preserve">WACC</w:t>
            </w:r>
          </w:p>
        </w:tc>
        <w:tc>
          <w:tcPr/>
          <w:p>
            <w:pPr>
              <w:pStyle w:val="Compact"/>
            </w:pPr>
            <w:r>
              <w:rPr>
                <w:rFonts w:hint="eastAsia"/>
              </w:rPr>
              <w:t xml:space="preserve">永续g</w:t>
            </w:r>
          </w:p>
        </w:tc>
        <w:tc>
          <w:tcPr/>
          <w:p>
            <w:pPr>
              <w:pStyle w:val="Compact"/>
            </w:pPr>
            <w:r>
              <w:rPr>
                <w:rFonts w:hint="eastAsia"/>
              </w:rPr>
              <w:t xml:space="preserve">概率</w:t>
            </w:r>
          </w:p>
        </w:tc>
        <w:tc>
          <w:tcPr/>
          <w:p>
            <w:pPr>
              <w:pStyle w:val="Compact"/>
            </w:pPr>
            <w:r>
              <w:rPr>
                <w:rFonts w:hint="eastAsia"/>
              </w:rPr>
              <w:t xml:space="preserve">每股价值</w:t>
            </w:r>
          </w:p>
        </w:tc>
        <w:tc>
          <w:tcPr/>
          <w:p>
            <w:pPr>
              <w:pStyle w:val="Compact"/>
            </w:pPr>
            <w:r>
              <w:rPr>
                <w:rFonts w:hint="eastAsia"/>
              </w:rPr>
              <w:t xml:space="preserve">相对现价</w:t>
            </w:r>
          </w:p>
        </w:tc>
      </w:tr>
      <w:tr>
        <w:tc>
          <w:tcPr/>
          <w:p>
            <w:pPr>
              <w:pStyle w:val="Compact"/>
            </w:pPr>
            <w:r>
              <w:t xml:space="preserve">Bear</w:t>
            </w:r>
          </w:p>
        </w:tc>
        <w:tc>
          <w:tcPr/>
          <w:p>
            <w:pPr>
              <w:pStyle w:val="Compact"/>
            </w:pPr>
            <w:r>
              <w:t xml:space="preserve">15.5%</w:t>
            </w:r>
          </w:p>
        </w:tc>
        <w:tc>
          <w:tcPr/>
          <w:p>
            <w:pPr>
              <w:pStyle w:val="Compact"/>
            </w:pPr>
            <w:r>
              <w:t xml:space="preserve">12.0%</w:t>
            </w:r>
          </w:p>
        </w:tc>
        <w:tc>
          <w:tcPr/>
          <w:p>
            <w:pPr>
              <w:pStyle w:val="Compact"/>
            </w:pPr>
            <w:r>
              <w:t xml:space="preserve">12.5%</w:t>
            </w:r>
          </w:p>
        </w:tc>
        <w:tc>
          <w:tcPr/>
          <w:p>
            <w:pPr>
              <w:pStyle w:val="Compact"/>
            </w:pPr>
            <w:r>
              <w:t xml:space="preserve">2.5%</w:t>
            </w:r>
          </w:p>
        </w:tc>
        <w:tc>
          <w:tcPr/>
          <w:p>
            <w:pPr>
              <w:pStyle w:val="Compact"/>
            </w:pPr>
            <w:r>
              <w:t xml:space="preserve">25.0%</w:t>
            </w:r>
          </w:p>
        </w:tc>
        <w:tc>
          <w:tcPr/>
          <w:p>
            <w:pPr>
              <w:pStyle w:val="Compact"/>
            </w:pPr>
            <w:r>
              <w:t xml:space="preserve">$81.90</w:t>
            </w:r>
          </w:p>
        </w:tc>
        <w:tc>
          <w:tcPr/>
          <w:p>
            <w:pPr>
              <w:pStyle w:val="Compact"/>
            </w:pPr>
            <w:r>
              <w:t xml:space="preserve">-75.4%</w:t>
            </w:r>
          </w:p>
        </w:tc>
      </w:tr>
      <w:tr>
        <w:tc>
          <w:tcPr/>
          <w:p>
            <w:pPr>
              <w:pStyle w:val="Compact"/>
            </w:pPr>
            <w:r>
              <w:t xml:space="preserve">Base</w:t>
            </w:r>
          </w:p>
        </w:tc>
        <w:tc>
          <w:tcPr/>
          <w:p>
            <w:pPr>
              <w:pStyle w:val="Compact"/>
            </w:pPr>
            <w:r>
              <w:t xml:space="preserve">30.9%</w:t>
            </w:r>
          </w:p>
        </w:tc>
        <w:tc>
          <w:tcPr/>
          <w:p>
            <w:pPr>
              <w:pStyle w:val="Compact"/>
            </w:pPr>
            <w:r>
              <w:t xml:space="preserve">15.0%</w:t>
            </w:r>
          </w:p>
        </w:tc>
        <w:tc>
          <w:tcPr/>
          <w:p>
            <w:pPr>
              <w:pStyle w:val="Compact"/>
            </w:pPr>
            <w:r>
              <w:t xml:space="preserve">11.5%</w:t>
            </w:r>
          </w:p>
        </w:tc>
        <w:tc>
          <w:tcPr/>
          <w:p>
            <w:pPr>
              <w:pStyle w:val="Compact"/>
            </w:pPr>
            <w:r>
              <w:t xml:space="preserve">3.0%</w:t>
            </w:r>
          </w:p>
        </w:tc>
        <w:tc>
          <w:tcPr/>
          <w:p>
            <w:pPr>
              <w:pStyle w:val="Compact"/>
            </w:pPr>
            <w:r>
              <w:t xml:space="preserve">50.0%</w:t>
            </w:r>
          </w:p>
        </w:tc>
        <w:tc>
          <w:tcPr/>
          <w:p>
            <w:pPr>
              <w:pStyle w:val="Compact"/>
            </w:pPr>
            <w:r>
              <w:t xml:space="preserve">$215.76</w:t>
            </w:r>
          </w:p>
        </w:tc>
        <w:tc>
          <w:tcPr/>
          <w:p>
            <w:pPr>
              <w:pStyle w:val="Compact"/>
            </w:pPr>
            <w:r>
              <w:t xml:space="preserve">-35.2%</w:t>
            </w:r>
          </w:p>
        </w:tc>
      </w:tr>
      <w:tr>
        <w:tc>
          <w:tcPr/>
          <w:p>
            <w:pPr>
              <w:pStyle w:val="Compact"/>
            </w:pPr>
            <w:r>
              <w:t xml:space="preserve">Bull</w:t>
            </w:r>
          </w:p>
        </w:tc>
        <w:tc>
          <w:tcPr/>
          <w:p>
            <w:pPr>
              <w:pStyle w:val="Compact"/>
            </w:pPr>
            <w:r>
              <w:t xml:space="preserve">40.2%</w:t>
            </w:r>
          </w:p>
        </w:tc>
        <w:tc>
          <w:tcPr/>
          <w:p>
            <w:pPr>
              <w:pStyle w:val="Compact"/>
            </w:pPr>
            <w:r>
              <w:t xml:space="preserve">17.2%</w:t>
            </w:r>
          </w:p>
        </w:tc>
        <w:tc>
          <w:tcPr/>
          <w:p>
            <w:pPr>
              <w:pStyle w:val="Compact"/>
            </w:pPr>
            <w:r>
              <w:t xml:space="preserve">11.0%</w:t>
            </w:r>
          </w:p>
        </w:tc>
        <w:tc>
          <w:tcPr/>
          <w:p>
            <w:pPr>
              <w:pStyle w:val="Compact"/>
            </w:pPr>
            <w:r>
              <w:t xml:space="preserve">3.5%</w:t>
            </w:r>
          </w:p>
        </w:tc>
        <w:tc>
          <w:tcPr/>
          <w:p>
            <w:pPr>
              <w:pStyle w:val="Compact"/>
            </w:pPr>
            <w:r>
              <w:t xml:space="preserve">25.0%</w:t>
            </w:r>
          </w:p>
        </w:tc>
        <w:tc>
          <w:tcPr/>
          <w:p>
            <w:pPr>
              <w:pStyle w:val="Compact"/>
            </w:pPr>
            <w:r>
              <w:t xml:space="preserve">$394.67</w:t>
            </w:r>
          </w:p>
        </w:tc>
        <w:tc>
          <w:tcPr/>
          <w:p>
            <w:pPr>
              <w:pStyle w:val="Compact"/>
            </w:pPr>
            <w:r>
              <w:t xml:space="preserve">18.6%</w:t>
            </w:r>
          </w:p>
        </w:tc>
      </w:tr>
    </w:tbl>
    <w:p>
      <w:pPr>
        <w:pStyle w:val="BodyText"/>
      </w:pPr>
      <w:r>
        <w:rPr>
          <w:rFonts w:hint="eastAsia"/>
        </w:rPr>
        <w:t xml:space="preserve">概率加权价值</w:t>
      </w:r>
      <w:r>
        <w:t xml:space="preserve"> </w:t>
      </w:r>
      <w:r>
        <w:rPr>
          <w:b/>
          <w:bCs/>
        </w:rPr>
        <w:t xml:space="preserve">$227.02</w:t>
      </w:r>
      <w:r>
        <w:rPr>
          <w:rFonts w:hint="eastAsia"/>
        </w:rPr>
        <w:t xml:space="preserve">（相对现价</w:t>
      </w:r>
      <w:r>
        <w:t xml:space="preserve"> </w:t>
      </w:r>
      <w:r>
        <w:rPr>
          <w:rFonts w:hint="eastAsia"/>
        </w:rPr>
        <w:t xml:space="preserve">-31.8%）。</w:t>
      </w:r>
    </w:p>
    <w:bookmarkEnd w:id="15"/>
    <w:bookmarkStart w:id="16" w:name="估值-dcf-reverse-dcf-roic-wacc-同业-敏感度"/>
    <w:p>
      <w:pPr>
        <w:pStyle w:val="Heading2"/>
      </w:pPr>
      <w:r>
        <w:t xml:space="preserve">8. </w:t>
      </w:r>
      <w:r>
        <w:rPr>
          <w:rFonts w:hint="eastAsia"/>
        </w:rPr>
        <w:t xml:space="preserve">估值:</w:t>
      </w:r>
      <w:r>
        <w:t xml:space="preserve"> DCF / Reverse DCF / ROIC-WACC / </w:t>
      </w:r>
      <w:r>
        <w:rPr>
          <w:rFonts w:hint="eastAsia"/>
        </w:rPr>
        <w:t xml:space="preserve">同业</w:t>
      </w:r>
      <w:r>
        <w:t xml:space="preserve"> / </w:t>
      </w:r>
      <w:r>
        <w:rPr>
          <w:rFonts w:hint="eastAsia"/>
        </w:rPr>
        <w:t xml:space="preserve">敏感度</w:t>
      </w:r>
    </w:p>
    <w:p>
      <w:pPr>
        <w:numPr>
          <w:ilvl w:val="0"/>
          <w:numId w:val="1005"/>
        </w:numPr>
      </w:pPr>
      <w:r>
        <w:t xml:space="preserve">DCF Base: EV 31.3 bn </w:t>
      </w:r>
      <w:r>
        <w:rPr>
          <w:rFonts w:hint="eastAsia"/>
        </w:rPr>
        <w:t xml:space="preserve">USD；终值占比</w:t>
      </w:r>
      <w:r>
        <w:t xml:space="preserve"> 54.4%。</w:t>
      </w:r>
    </w:p>
    <w:p>
      <w:pPr>
        <w:numPr>
          <w:ilvl w:val="0"/>
          <w:numId w:val="1005"/>
        </w:numPr>
      </w:pPr>
      <w:r>
        <w:rPr>
          <w:b/>
          <w:bCs/>
        </w:rPr>
        <w:t xml:space="preserve">Reverse DCF </w:t>
      </w:r>
      <w:r>
        <w:rPr>
          <w:rFonts w:hint="eastAsia"/>
          <w:b/>
          <w:bCs/>
        </w:rPr>
        <w:t xml:space="preserve">反向DCF</w:t>
      </w:r>
      <w:r>
        <w:t xml:space="preserve">: </w:t>
      </w:r>
      <w:r>
        <w:rPr>
          <w:rFonts w:hint="eastAsia"/>
        </w:rPr>
        <w:t xml:space="preserve">在Base利润率与WACC下，现价隐含Y1收入增速</w:t>
      </w:r>
      <w:r>
        <w:t xml:space="preserve"> ≈</w:t>
      </w:r>
      <w:r>
        <w:t xml:space="preserve"> </w:t>
      </w:r>
      <w:r>
        <w:rPr>
          <w:b/>
          <w:bCs/>
        </w:rPr>
        <w:t xml:space="preserve">42.9%</w:t>
      </w:r>
      <w:r>
        <w:rPr>
          <w:rFonts w:hint="eastAsia"/>
        </w:rPr>
        <w:t xml:space="preserve">；一致预期FY+1增速</w:t>
      </w:r>
      <w:r>
        <w:t xml:space="preserve"> 30.9%。</w:t>
      </w:r>
    </w:p>
    <w:p>
      <w:pPr>
        <w:numPr>
          <w:ilvl w:val="0"/>
          <w:numId w:val="1005"/>
        </w:numPr>
      </w:pPr>
      <w:r>
        <w:t xml:space="preserve">WACC (CAPM) = rf 5.1% + β 1.29 × ERP 5.0% = 11.5%。</w:t>
      </w:r>
    </w:p>
    <w:p>
      <w:pPr>
        <w:numPr>
          <w:ilvl w:val="0"/>
          <w:numId w:val="1005"/>
        </w:numPr>
      </w:pPr>
      <w:r>
        <w:t xml:space="preserve">SOTP segments </w:t>
      </w:r>
      <w:r>
        <w:rPr>
          <w:rFonts w:hint="eastAsia"/>
        </w:rPr>
        <w:t xml:space="preserve">分部:</w:t>
      </w:r>
      <w:r>
        <w:t xml:space="preserve"> Networking platforms </w:t>
      </w:r>
      <w:r>
        <w:rPr>
          <w:rFonts w:hint="eastAsia"/>
        </w:rPr>
        <w:t xml:space="preserve">网络平台;</w:t>
      </w:r>
      <w:r>
        <w:t xml:space="preserve"> Platform software &amp; services </w:t>
      </w:r>
      <w:r>
        <w:rPr>
          <w:rFonts w:hint="eastAsia"/>
        </w:rPr>
        <w:t xml:space="preserve">软件服务;</w:t>
      </w:r>
      <w:r>
        <w:t xml:space="preserve"> Blue Planet.</w:t>
      </w:r>
      <w:r>
        <w:t xml:space="preserve"> </w:t>
      </w:r>
      <w:r>
        <w:rPr>
          <w:b/>
          <w:bCs/>
        </w:rPr>
        <w:t xml:space="preserve">Status: framework only</w:t>
      </w:r>
      <w:r>
        <w:t xml:space="preserve"> </w:t>
      </w:r>
      <w:r>
        <w:t xml:space="preserve">— segment revenues are INPUT REQUIRED from the latest 10-K/10-Q segment note (not auto-fed, left blank to avoid </w:t>
      </w:r>
      <w:r>
        <w:rPr>
          <w:rFonts w:hint="eastAsia"/>
        </w:rPr>
        <w:t xml:space="preserve">fabrication)｜分部收入需按最新财报手动录入，未自动填充以避免编造。</w:t>
      </w:r>
    </w:p>
    <w:p>
      <w:pPr>
        <w:numPr>
          <w:ilvl w:val="0"/>
          <w:numId w:val="1005"/>
        </w:numPr>
      </w:pPr>
      <w:r>
        <w:rPr>
          <w:rFonts w:hint="eastAsia"/>
        </w:rPr>
        <w:t xml:space="preserve">同业比较</w:t>
      </w:r>
      <w:r>
        <w:t xml:space="preserve"> Comps (DATA):</w:t>
      </w:r>
      <w:r>
        <w:t xml:space="preserve"> </w:t>
      </w:r>
      <w:r>
        <w:t xml:space="preserve">| Ticker | </w:t>
      </w:r>
      <w:r>
        <w:rPr>
          <w:rFonts w:hint="eastAsia"/>
        </w:rPr>
        <w:t xml:space="preserve">市值</w:t>
      </w:r>
      <w:r>
        <w:t xml:space="preserve"> | EV/Sales | Fwd P/E | </w:t>
      </w:r>
      <w:r>
        <w:rPr>
          <w:rFonts w:hint="eastAsia"/>
        </w:rPr>
        <w:t xml:space="preserve">收入增速</w:t>
      </w:r>
      <w:r>
        <w:t xml:space="preserve"> | </w:t>
      </w:r>
      <w:r>
        <w:rPr>
          <w:rFonts w:hint="eastAsia"/>
        </w:rPr>
        <w:t xml:space="preserve">毛利率</w:t>
      </w:r>
      <w:r>
        <w:t xml:space="preserve"> | </w:t>
      </w:r>
      <w:r>
        <w:rPr>
          <w:rFonts w:hint="eastAsia"/>
        </w:rPr>
        <w:t xml:space="preserve">FCF收益率</w:t>
      </w:r>
      <w:r>
        <w:t xml:space="preserve"> |</w:t>
      </w:r>
      <w:r>
        <w:t xml:space="preserve"> </w:t>
      </w:r>
      <w:r>
        <w:t xml:space="preserve">|—|—|—|—|—|—|—|</w:t>
      </w:r>
      <w:r>
        <w:t xml:space="preserve"> </w:t>
      </w:r>
      <w:r>
        <w:t xml:space="preserve">| CIEN | 47.2 bn USD | 7.9x | 28.0x | 37.0% | 44.1% | 1.7% |</w:t>
      </w:r>
      <w:r>
        <w:t xml:space="preserve"> </w:t>
      </w:r>
      <w:r>
        <w:t xml:space="preserve">| COHR | 45.9 bn USD | 6.7x | 16.6x | 33.7% | 37.5% | -1.4% |</w:t>
      </w:r>
      <w:r>
        <w:t xml:space="preserve"> </w:t>
      </w:r>
      <w:r>
        <w:t xml:space="preserve">| LITE | 74.7 bn USD | 24.2x | 22.9x | 109.3% | 44.2% | 0.3% |</w:t>
      </w:r>
      <w:r>
        <w:t xml:space="preserve"> </w:t>
      </w:r>
      <w:r>
        <w:t xml:space="preserve">| NOK | 51.2 bn USD | 2.4x | 18.9x | 8.4% | 45.5% | 2.3% |</w:t>
      </w:r>
      <w:r>
        <w:t xml:space="preserve"> </w:t>
      </w:r>
      <w:r>
        <w:t xml:space="preserve">| CSCO | 423.4 bn USD | 6.9x | 19.1x | 17.6% | 64.5% | 2.6% |</w:t>
      </w:r>
    </w:p>
    <w:p>
      <w:pPr>
        <w:numPr>
          <w:ilvl w:val="0"/>
          <w:numId w:val="1005"/>
        </w:numPr>
      </w:pPr>
      <w:r>
        <w:rPr>
          <w:rFonts w:hint="eastAsia"/>
        </w:rPr>
        <w:t xml:space="preserve">敏感度:</w:t>
      </w:r>
      <w:r>
        <w:t xml:space="preserve"> </w:t>
      </w:r>
      <w:r>
        <w:rPr>
          <w:rFonts w:hint="eastAsia"/>
        </w:rPr>
        <w:t xml:space="preserve">见Excel</w:t>
      </w:r>
      <w:r>
        <w:t xml:space="preserve"> </w:t>
      </w:r>
      <w:r>
        <w:rPr>
          <w:rStyle w:val="VerbatimChar"/>
        </w:rPr>
        <w:t xml:space="preserve">Sensitivity</w:t>
      </w:r>
      <w:r>
        <w:t xml:space="preserve"> </w:t>
      </w:r>
      <w:r>
        <w:rPr>
          <w:rFonts w:hint="eastAsia"/>
        </w:rPr>
        <w:t xml:space="preserve">表</w:t>
      </w:r>
      <w:r>
        <w:t xml:space="preserve"> (WACC × </w:t>
      </w:r>
      <w:r>
        <w:rPr>
          <w:rFonts w:hint="eastAsia"/>
        </w:rPr>
        <w:t xml:space="preserve">永续增长率)。</w:t>
      </w:r>
    </w:p>
    <w:bookmarkEnd w:id="16"/>
    <w:bookmarkStart w:id="17" w:name="风险反方论证与证伪"/>
    <w:p>
      <w:pPr>
        <w:pStyle w:val="Heading2"/>
      </w:pPr>
      <w:r>
        <w:t xml:space="preserve">9. </w:t>
      </w:r>
      <w:r>
        <w:rPr>
          <w:rFonts w:hint="eastAsia"/>
        </w:rPr>
        <w:t xml:space="preserve">风险、反方论证与证伪</w:t>
      </w:r>
    </w:p>
    <w:p>
      <w:pPr>
        <w:pStyle w:val="Compact"/>
        <w:numPr>
          <w:ilvl w:val="0"/>
          <w:numId w:val="1006"/>
        </w:numPr>
      </w:pPr>
      <w:r>
        <w:rPr>
          <w:rFonts w:hint="eastAsia"/>
        </w:rPr>
        <w:t xml:space="preserve">反方观点</w:t>
      </w:r>
      <w:r>
        <w:t xml:space="preserve"> Counter-thesis: Carrier spending weak; competition from </w:t>
      </w:r>
      <w:r>
        <w:rPr>
          <w:rFonts w:hint="eastAsia"/>
        </w:rPr>
        <w:t xml:space="preserve">Nokia/Infinera｜运营商开支疲弱；诺基亚竞争</w:t>
      </w:r>
    </w:p>
    <w:p>
      <w:pPr>
        <w:pStyle w:val="Compact"/>
        <w:numPr>
          <w:ilvl w:val="0"/>
          <w:numId w:val="1006"/>
        </w:numPr>
      </w:pPr>
      <w:r>
        <w:rPr>
          <w:rFonts w:hint="eastAsia"/>
        </w:rPr>
        <w:t xml:space="preserve">证伪指标:</w:t>
      </w:r>
      <w:r>
        <w:t xml:space="preserve"> Order book/backlog falls; GM not </w:t>
      </w:r>
      <w:r>
        <w:rPr>
          <w:rFonts w:hint="eastAsia"/>
        </w:rPr>
        <w:t xml:space="preserve">improving｜订单/积压下降；毛利不改善</w:t>
      </w:r>
    </w:p>
    <w:p>
      <w:pPr>
        <w:pStyle w:val="Compact"/>
        <w:numPr>
          <w:ilvl w:val="0"/>
          <w:numId w:val="1006"/>
        </w:numPr>
      </w:pPr>
      <w:r>
        <w:rPr>
          <w:rFonts w:hint="eastAsia"/>
        </w:rPr>
        <w:t xml:space="preserve">模型风险:</w:t>
      </w:r>
      <w:r>
        <w:t xml:space="preserve"> </w:t>
      </w:r>
      <w:r>
        <w:rPr>
          <w:rFonts w:hint="eastAsia"/>
        </w:rPr>
        <w:t xml:space="preserve">长期利润率与WACC为假设；终值占比高时估值对假设极敏感。</w:t>
      </w:r>
    </w:p>
    <w:bookmarkEnd w:id="17"/>
    <w:bookmarkStart w:id="18" w:name="source-ledger-来源账本"/>
    <w:p>
      <w:pPr>
        <w:pStyle w:val="Heading2"/>
      </w:pPr>
      <w:r>
        <w:t xml:space="preserve">10. Source Ledger </w:t>
      </w:r>
      <w:r>
        <w:rPr>
          <w:rFonts w:hint="eastAsia"/>
        </w:rPr>
        <w:t xml:space="preserve">来源账本</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Source/time</w:t>
            </w:r>
          </w:p>
        </w:tc>
      </w:tr>
      <w:tr>
        <w:tc>
          <w:tcPr/>
          <w:p>
            <w:pPr>
              <w:pStyle w:val="Compact"/>
            </w:pPr>
            <w:r>
              <w:t xml:space="preserve">Price </w:t>
            </w:r>
            <w:r>
              <w:rPr>
                <w:rFonts w:hint="eastAsia"/>
              </w:rPr>
              <w:t xml:space="preserve">股价</w:t>
            </w:r>
          </w:p>
        </w:tc>
        <w:tc>
          <w:tcPr/>
          <w:p>
            <w:pPr>
              <w:pStyle w:val="Compact"/>
            </w:pPr>
            <w:r>
              <w:t xml:space="preserve">332.7</w:t>
            </w:r>
          </w:p>
        </w:tc>
        <w:tc>
          <w:tcPr/>
          <w:p>
            <w:pPr>
              <w:pStyle w:val="Compact"/>
            </w:pPr>
            <w:r>
              <w:t xml:space="preserve">Yahoo Finance quote, fetched 2026-10-17T07:55 SGT</w:t>
            </w:r>
          </w:p>
        </w:tc>
      </w:tr>
      <w:tr>
        <w:tc>
          <w:tcPr/>
          <w:p>
            <w:pPr>
              <w:pStyle w:val="Compact"/>
            </w:pPr>
            <w:r>
              <w:t xml:space="preserve">Market cap </w:t>
            </w:r>
            <w:r>
              <w:rPr>
                <w:rFonts w:hint="eastAsia"/>
              </w:rPr>
              <w:t xml:space="preserve">市值</w:t>
            </w:r>
          </w:p>
        </w:tc>
        <w:tc>
          <w:tcPr/>
          <w:p>
            <w:pPr>
              <w:pStyle w:val="Compact"/>
            </w:pPr>
            <w:r>
              <w:t xml:space="preserve">4.718e+10</w:t>
            </w:r>
          </w:p>
        </w:tc>
        <w:tc>
          <w:tcPr/>
          <w:p>
            <w:pPr>
              <w:pStyle w:val="Compact"/>
            </w:pPr>
            <w:r>
              <w:t xml:space="preserve">Yahoo info.marketCap 2026-10-17T07:55</w:t>
            </w:r>
          </w:p>
        </w:tc>
      </w:tr>
      <w:tr>
        <w:tc>
          <w:tcPr/>
          <w:p>
            <w:pPr>
              <w:pStyle w:val="Compact"/>
            </w:pPr>
            <w:r>
              <w:t xml:space="preserve">Cash </w:t>
            </w:r>
            <w:r>
              <w:rPr>
                <w:rFonts w:hint="eastAsia"/>
              </w:rPr>
              <w:t xml:space="preserve">现金</w:t>
            </w:r>
          </w:p>
        </w:tc>
        <w:tc>
          <w:tcPr/>
          <w:p>
            <w:pPr>
              <w:pStyle w:val="Compact"/>
            </w:pPr>
            <w:r>
              <w:t xml:space="preserve">2.63e+09</w:t>
            </w:r>
          </w:p>
        </w:tc>
        <w:tc>
          <w:tcPr/>
          <w:p>
            <w:pPr>
              <w:pStyle w:val="Compact"/>
            </w:pPr>
            <w:r>
              <w:t xml:space="preserve">Yahoo info.totalCash (latest filing) 2026-10-17T07:55</w:t>
            </w:r>
          </w:p>
        </w:tc>
      </w:tr>
      <w:tr>
        <w:tc>
          <w:tcPr/>
          <w:p>
            <w:pPr>
              <w:pStyle w:val="Compact"/>
            </w:pPr>
            <w:r>
              <w:t xml:space="preserve">Debt </w:t>
            </w:r>
            <w:r>
              <w:rPr>
                <w:rFonts w:hint="eastAsia"/>
              </w:rPr>
              <w:t xml:space="preserve">负债</w:t>
            </w:r>
          </w:p>
        </w:tc>
        <w:tc>
          <w:tcPr/>
          <w:p>
            <w:pPr>
              <w:pStyle w:val="Compact"/>
            </w:pPr>
            <w:r>
              <w:t xml:space="preserve">3.286e+09</w:t>
            </w:r>
          </w:p>
        </w:tc>
        <w:tc>
          <w:tcPr/>
          <w:p>
            <w:pPr>
              <w:pStyle w:val="Compact"/>
            </w:pPr>
            <w:r>
              <w:t xml:space="preserve">Yahoo info.totalDebt (latest filing) 2026-10-17T07:55</w:t>
            </w:r>
          </w:p>
        </w:tc>
      </w:tr>
      <w:tr>
        <w:tc>
          <w:tcPr/>
          <w:p>
            <w:pPr>
              <w:pStyle w:val="Compact"/>
            </w:pPr>
            <w:r>
              <w:t xml:space="preserve">Revenue TTM </w:t>
            </w:r>
            <w:r>
              <w:rPr>
                <w:rFonts w:hint="eastAsia"/>
              </w:rPr>
              <w:t xml:space="preserve">收入</w:t>
            </w:r>
          </w:p>
        </w:tc>
        <w:tc>
          <w:tcPr/>
          <w:p>
            <w:pPr>
              <w:pStyle w:val="Compact"/>
            </w:pPr>
            <w:r>
              <w:t xml:space="preserve">6.021e+09</w:t>
            </w:r>
          </w:p>
        </w:tc>
        <w:tc>
          <w:tcPr/>
          <w:p>
            <w:pPr>
              <w:pStyle w:val="Compact"/>
            </w:pPr>
            <w:r>
              <w:t xml:space="preserve">Yahoo info.totalRevenue (TTM, USD) 2026-10-17T07:55</w:t>
            </w:r>
          </w:p>
        </w:tc>
      </w:tr>
      <w:tr>
        <w:tc>
          <w:tcPr/>
          <w:p>
            <w:pPr>
              <w:pStyle w:val="Compact"/>
            </w:pPr>
            <w:r>
              <w:t xml:space="preserve">FCF TTM </w:t>
            </w:r>
            <w:r>
              <w:rPr>
                <w:rFonts w:hint="eastAsia"/>
              </w:rPr>
              <w:t xml:space="preserve">自由现金流</w:t>
            </w:r>
          </w:p>
        </w:tc>
        <w:tc>
          <w:tcPr/>
          <w:p>
            <w:pPr>
              <w:pStyle w:val="Compact"/>
            </w:pPr>
            <w:r>
              <w:t xml:space="preserve">8.144e+08</w:t>
            </w:r>
          </w:p>
        </w:tc>
        <w:tc>
          <w:tcPr/>
          <w:p>
            <w:pPr>
              <w:pStyle w:val="Compact"/>
            </w:pPr>
            <w:r>
              <w:t xml:space="preserve">Sum of last 4 quarterly FCF (q_cash); quarters [</w:t>
            </w:r>
            <w:r>
              <w:t xml:space="preserve">‘2026-07-31’</w:t>
            </w:r>
            <w:r>
              <w:t xml:space="preserve">,</w:t>
            </w:r>
            <w:r>
              <w:t xml:space="preserve"> </w:t>
            </w:r>
            <w:r>
              <w:t xml:space="preserve">‘2026-04-30’</w:t>
            </w:r>
            <w:r>
              <w:t xml:space="preserve">,</w:t>
            </w:r>
            <w:r>
              <w:t xml:space="preserve"> </w:t>
            </w:r>
            <w:r>
              <w:t xml:space="preserve">‘2026-01-31’</w:t>
            </w:r>
            <w:r>
              <w:t xml:space="preserve">,</w:t>
            </w:r>
            <w:r>
              <w:t xml:space="preserve"> </w:t>
            </w:r>
            <w:r>
              <w:t xml:space="preserve">‘2025-10-31’</w:t>
            </w:r>
            <w:r>
              <w:t xml:space="preserve">] (USD)</w:t>
            </w:r>
          </w:p>
        </w:tc>
      </w:tr>
      <w:tr>
        <w:tc>
          <w:tcPr/>
          <w:p>
            <w:pPr>
              <w:pStyle w:val="Compact"/>
            </w:pPr>
            <w:r>
              <w:t xml:space="preserve">Beta</w:t>
            </w:r>
          </w:p>
        </w:tc>
        <w:tc>
          <w:tcPr/>
          <w:p>
            <w:pPr>
              <w:pStyle w:val="Compact"/>
            </w:pPr>
            <w:r>
              <w:t xml:space="preserve">1.289</w:t>
            </w:r>
          </w:p>
        </w:tc>
        <w:tc>
          <w:tcPr/>
          <w:p>
            <w:pPr>
              <w:pStyle w:val="Compact"/>
            </w:pPr>
            <w:r>
              <w:t xml:space="preserve">Yahoo info.beta (5Y monthly)</w:t>
            </w:r>
          </w:p>
        </w:tc>
      </w:tr>
      <w:tr>
        <w:tc>
          <w:tcPr/>
          <w:p>
            <w:pPr>
              <w:pStyle w:val="Compact"/>
            </w:pPr>
            <w:r>
              <w:t xml:space="preserve">Risk-free 10Y </w:t>
            </w:r>
            <w:r>
              <w:rPr>
                <w:rFonts w:hint="eastAsia"/>
              </w:rPr>
              <w:t xml:space="preserve">无风险利率</w:t>
            </w:r>
          </w:p>
        </w:tc>
        <w:tc>
          <w:tcPr/>
          <w:p>
            <w:pPr>
              <w:pStyle w:val="Compact"/>
            </w:pPr>
            <w:r>
              <w:t xml:space="preserve">0.051</w:t>
            </w:r>
          </w:p>
        </w:tc>
        <w:tc>
          <w:tcPr/>
          <w:p>
            <w:pPr>
              <w:pStyle w:val="Compact"/>
            </w:pPr>
            <w:r>
              <w:t xml:space="preserve">FRED DGS10 2026-10-15</w:t>
            </w:r>
          </w:p>
        </w:tc>
      </w:tr>
      <w:tr>
        <w:tc>
          <w:tcPr/>
          <w:p>
            <w:pPr>
              <w:pStyle w:val="Compact"/>
            </w:pPr>
            <w:r>
              <w:t xml:space="preserve">FX USD per USD</w:t>
            </w:r>
          </w:p>
        </w:tc>
        <w:tc>
          <w:tcPr/>
          <w:p>
            <w:pPr>
              <w:pStyle w:val="Compact"/>
            </w:pPr>
            <w:r>
              <w:t xml:space="preserve">1</w:t>
            </w:r>
          </w:p>
        </w:tc>
        <w:tc>
          <w:tcPr/>
          <w:p>
            <w:pPr>
              <w:pStyle w:val="Compact"/>
            </w:pPr>
            <w:r>
              <w:t xml:space="preserve">n/a (USD)</w:t>
            </w:r>
          </w:p>
        </w:tc>
      </w:tr>
      <w:tr>
        <w:tc>
          <w:tcPr/>
          <w:p>
            <w:pPr>
              <w:pStyle w:val="Compact"/>
            </w:pPr>
            <w:r>
              <w:t xml:space="preserve">Consensus rev growth FY0</w:t>
            </w:r>
          </w:p>
        </w:tc>
        <w:tc>
          <w:tcPr/>
          <w:p>
            <w:pPr>
              <w:pStyle w:val="Compact"/>
            </w:pPr>
            <w:r>
              <w:t xml:space="preserve">0.3468</w:t>
            </w:r>
          </w:p>
        </w:tc>
        <w:tc>
          <w:tcPr/>
          <w:p>
            <w:pPr>
              <w:pStyle w:val="Compact"/>
            </w:pPr>
            <w:r>
              <w:t xml:space="preserve">Yahoo revenue_estimate 0y</w:t>
            </w:r>
          </w:p>
        </w:tc>
      </w:tr>
      <w:tr>
        <w:tc>
          <w:tcPr/>
          <w:p>
            <w:pPr>
              <w:pStyle w:val="Compact"/>
            </w:pPr>
            <w:r>
              <w:t xml:space="preserve">Consensus rev growth FY+1</w:t>
            </w:r>
          </w:p>
        </w:tc>
        <w:tc>
          <w:tcPr/>
          <w:p>
            <w:pPr>
              <w:pStyle w:val="Compact"/>
            </w:pPr>
            <w:r>
              <w:t xml:space="preserve">0.3093</w:t>
            </w:r>
          </w:p>
        </w:tc>
        <w:tc>
          <w:tcPr/>
          <w:p>
            <w:pPr>
              <w:pStyle w:val="Compact"/>
            </w:pPr>
            <w:r>
              <w:t xml:space="preserve">Yahoo revenue_estimate +1y</w:t>
            </w:r>
          </w:p>
        </w:tc>
      </w:tr>
    </w:tbl>
    <w:bookmarkEnd w:id="18"/>
    <w:bookmarkStart w:id="19" w:name="assumption-register-假设登记表"/>
    <w:p>
      <w:pPr>
        <w:pStyle w:val="Heading2"/>
      </w:pPr>
      <w:r>
        <w:t xml:space="preserve">11. Assumption Register </w:t>
      </w:r>
      <w:r>
        <w:rPr>
          <w:rFonts w:hint="eastAsia"/>
        </w:rPr>
        <w:t xml:space="preserve">假设登记表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Assumption</w:t>
            </w:r>
          </w:p>
        </w:tc>
        <w:tc>
          <w:tcPr/>
          <w:p>
            <w:pPr>
              <w:pStyle w:val="Compact"/>
            </w:pPr>
            <w:r>
              <w:t xml:space="preserve">Value</w:t>
            </w:r>
          </w:p>
        </w:tc>
        <w:tc>
          <w:tcPr/>
          <w:p>
            <w:pPr>
              <w:pStyle w:val="Compact"/>
            </w:pPr>
            <w:r>
              <w:t xml:space="preserve">Rationale</w:t>
            </w:r>
          </w:p>
        </w:tc>
      </w:tr>
      <w:tr>
        <w:tc>
          <w:tcPr/>
          <w:p>
            <w:pPr>
              <w:pStyle w:val="Compact"/>
            </w:pPr>
            <w:r>
              <w:t xml:space="preserve">ERP </w:t>
            </w:r>
            <w:r>
              <w:rPr>
                <w:rFonts w:hint="eastAsia"/>
              </w:rPr>
              <w:t xml:space="preserve">股权风险溢价</w:t>
            </w:r>
          </w:p>
        </w:tc>
        <w:tc>
          <w:tcPr/>
          <w:p>
            <w:pPr>
              <w:pStyle w:val="Compact"/>
            </w:pPr>
            <w:r>
              <w:t xml:space="preserve">0.05</w:t>
            </w:r>
          </w:p>
        </w:tc>
        <w:tc>
          <w:tcPr/>
          <w:p>
            <w:pPr>
              <w:pStyle w:val="Compact"/>
            </w:pPr>
            <w:r>
              <w:t xml:space="preserve">ASSUMPTION: 5.0% house mature-market ERP</w:t>
            </w:r>
          </w:p>
        </w:tc>
      </w:tr>
      <w:tr>
        <w:tc>
          <w:tcPr/>
          <w:p>
            <w:pPr>
              <w:pStyle w:val="Compact"/>
            </w:pPr>
            <w:r>
              <w:t xml:space="preserve">Beta clamp</w:t>
            </w:r>
          </w:p>
        </w:tc>
        <w:tc>
          <w:tcPr/>
          <w:p>
            <w:pPr>
              <w:pStyle w:val="Compact"/>
            </w:pPr>
            <w:r>
              <w:t xml:space="preserve">[0.8,1.6] → 1.29</w:t>
            </w:r>
          </w:p>
        </w:tc>
        <w:tc>
          <w:tcPr/>
          <w:p>
            <w:pPr>
              <w:pStyle w:val="Compact"/>
            </w:pPr>
            <w:r>
              <w:t xml:space="preserve">ASSUMPTION: limit extreme betas</w:t>
            </w:r>
          </w:p>
        </w:tc>
      </w:tr>
      <w:tr>
        <w:tc>
          <w:tcPr/>
          <w:p>
            <w:pPr>
              <w:pStyle w:val="Compact"/>
            </w:pPr>
            <w:r>
              <w:t xml:space="preserve">Tax rate (ROIC)</w:t>
            </w:r>
          </w:p>
        </w:tc>
        <w:tc>
          <w:tcPr/>
          <w:p>
            <w:pPr>
              <w:pStyle w:val="Compact"/>
            </w:pPr>
            <w:r>
              <w:t xml:space="preserve">0.18</w:t>
            </w:r>
          </w:p>
        </w:tc>
        <w:tc>
          <w:tcPr/>
          <w:p>
            <w:pPr>
              <w:pStyle w:val="Compact"/>
            </w:pPr>
            <w:r>
              <w:t xml:space="preserve">ASSUMPTION: blended cash tax 18%</w:t>
            </w:r>
          </w:p>
        </w:tc>
      </w:tr>
      <w:tr>
        <w:tc>
          <w:tcPr/>
          <w:p>
            <w:pPr>
              <w:pStyle w:val="Compact"/>
            </w:pPr>
            <w:r>
              <w:t xml:space="preserve">Year-1 growth (Base)</w:t>
            </w:r>
          </w:p>
        </w:tc>
        <w:tc>
          <w:tcPr/>
          <w:p>
            <w:pPr>
              <w:pStyle w:val="Compact"/>
            </w:pPr>
            <w:r>
              <w:t xml:space="preserve">0.3093</w:t>
            </w:r>
          </w:p>
        </w:tc>
        <w:tc>
          <w:tcPr/>
          <w:p>
            <w:pPr>
              <w:pStyle w:val="Compact"/>
            </w:pPr>
            <w:r>
              <w:t xml:space="preserve">Consensus FY+1 revenue growth (Yahoo revenue_estimate</w:t>
            </w:r>
            <w:r>
              <w:t xml:space="preserve"> </w:t>
            </w:r>
            <w:r>
              <w:t xml:space="preserve">‘+1y’</w:t>
            </w:r>
            <w:r>
              <w:t xml:space="preserve">); capped at 100%</w:t>
            </w:r>
          </w:p>
        </w:tc>
      </w:tr>
      <w:tr>
        <w:tc>
          <w:tcPr/>
          <w:p>
            <w:pPr>
              <w:pStyle w:val="Compact"/>
            </w:pPr>
            <w:r>
              <w:t xml:space="preserve">Growth fade</w:t>
            </w:r>
          </w:p>
        </w:tc>
        <w:tc>
          <w:tcPr/>
          <w:p>
            <w:pPr>
              <w:pStyle w:val="Compact"/>
            </w:pPr>
            <w:r>
              <w:t xml:space="preserve">linear Y1→terminal by Y10</w:t>
            </w:r>
          </w:p>
        </w:tc>
        <w:tc>
          <w:tcPr/>
          <w:p>
            <w:pPr>
              <w:pStyle w:val="Compact"/>
            </w:pPr>
            <w:r>
              <w:t xml:space="preserve">ASSUMPTION</w:t>
            </w:r>
          </w:p>
        </w:tc>
      </w:tr>
      <w:tr>
        <w:tc>
          <w:tcPr/>
          <w:p>
            <w:pPr>
              <w:pStyle w:val="Compact"/>
            </w:pPr>
            <w:r>
              <w:t xml:space="preserve">Starting FCF margin</w:t>
            </w:r>
          </w:p>
        </w:tc>
        <w:tc>
          <w:tcPr/>
          <w:p>
            <w:pPr>
              <w:pStyle w:val="Compact"/>
            </w:pPr>
            <w:r>
              <w:t xml:space="preserve">0.1353</w:t>
            </w:r>
          </w:p>
        </w:tc>
        <w:tc>
          <w:tcPr/>
          <w:p>
            <w:pPr>
              <w:pStyle w:val="Compact"/>
            </w:pPr>
            <w:r>
              <w:t xml:space="preserve">DATA: FCF TTM / Revenue TTM, floored -50%</w:t>
            </w:r>
          </w:p>
        </w:tc>
      </w:tr>
      <w:tr>
        <w:tc>
          <w:tcPr/>
          <w:p>
            <w:pPr>
              <w:pStyle w:val="Compact"/>
            </w:pPr>
            <w:r>
              <w:t xml:space="preserve">Long-run FCF margin (Base)</w:t>
            </w:r>
          </w:p>
        </w:tc>
        <w:tc>
          <w:tcPr/>
          <w:p>
            <w:pPr>
              <w:pStyle w:val="Compact"/>
            </w:pPr>
            <w:r>
              <w:t xml:space="preserve">0.15</w:t>
            </w:r>
          </w:p>
        </w:tc>
        <w:tc>
          <w:tcPr/>
          <w:p>
            <w:pPr>
              <w:pStyle w:val="Compact"/>
            </w:pPr>
            <w:r>
              <w:t xml:space="preserve">ASSUMPTION (analyst framework, reached by Y5; see profile)</w:t>
            </w:r>
          </w:p>
        </w:tc>
      </w:tr>
      <w:tr>
        <w:tc>
          <w:tcPr/>
          <w:p>
            <w:pPr>
              <w:pStyle w:val="Compact"/>
            </w:pPr>
            <w:r>
              <w:t xml:space="preserve">Bear/Bull Y1 growth multiplier</w:t>
            </w:r>
          </w:p>
        </w:tc>
        <w:tc>
          <w:tcPr/>
          <w:p>
            <w:pPr>
              <w:pStyle w:val="Compact"/>
            </w:pPr>
            <w:r>
              <w:t xml:space="preserve">0.5x / 1.3x</w:t>
            </w:r>
          </w:p>
        </w:tc>
        <w:tc>
          <w:tcPr/>
          <w:p>
            <w:pPr>
              <w:pStyle w:val="Compact"/>
            </w:pPr>
            <w:r>
              <w:t xml:space="preserve">ASSUMPTION</w:t>
            </w:r>
          </w:p>
        </w:tc>
      </w:tr>
      <w:tr>
        <w:tc>
          <w:tcPr/>
          <w:p>
            <w:pPr>
              <w:pStyle w:val="Compact"/>
            </w:pPr>
            <w:r>
              <w:t xml:space="preserve">Bear/Bull margin multiplier</w:t>
            </w:r>
          </w:p>
        </w:tc>
        <w:tc>
          <w:tcPr/>
          <w:p>
            <w:pPr>
              <w:pStyle w:val="Compact"/>
            </w:pPr>
            <w:r>
              <w:t xml:space="preserve">0.8x / 1.15x</w:t>
            </w:r>
          </w:p>
        </w:tc>
        <w:tc>
          <w:tcPr/>
          <w:p>
            <w:pPr>
              <w:pStyle w:val="Compact"/>
            </w:pPr>
            <w:r>
              <w:t xml:space="preserve">ASSUMPTION</w:t>
            </w:r>
          </w:p>
        </w:tc>
      </w:tr>
      <w:tr>
        <w:tc>
          <w:tcPr/>
          <w:p>
            <w:pPr>
              <w:pStyle w:val="Compact"/>
            </w:pPr>
            <w:r>
              <w:t xml:space="preserve">WACC adj Bear/Bull</w:t>
            </w:r>
          </w:p>
        </w:tc>
        <w:tc>
          <w:tcPr/>
          <w:p>
            <w:pPr>
              <w:pStyle w:val="Compact"/>
            </w:pPr>
            <w:r>
              <w:t xml:space="preserve">+1.0pp / -0.5pp</w:t>
            </w:r>
          </w:p>
        </w:tc>
        <w:tc>
          <w:tcPr/>
          <w:p>
            <w:pPr>
              <w:pStyle w:val="Compact"/>
            </w:pPr>
            <w:r>
              <w:t xml:space="preserve">ASSUMPTION</w:t>
            </w:r>
          </w:p>
        </w:tc>
      </w:tr>
      <w:tr>
        <w:tc>
          <w:tcPr/>
          <w:p>
            <w:pPr>
              <w:pStyle w:val="Compact"/>
            </w:pPr>
            <w:r>
              <w:t xml:space="preserve">Terminal g Bear/Base/Bull</w:t>
            </w:r>
          </w:p>
        </w:tc>
        <w:tc>
          <w:tcPr/>
          <w:p>
            <w:pPr>
              <w:pStyle w:val="Compact"/>
            </w:pPr>
            <w:r>
              <w:t xml:space="preserve">2.5% / 3.0% / 3.5%</w:t>
            </w:r>
          </w:p>
        </w:tc>
        <w:tc>
          <w:tcPr/>
          <w:p>
            <w:pPr>
              <w:pStyle w:val="Compact"/>
            </w:pPr>
            <w:r>
              <w:t xml:space="preserve">ASSUMPTION</w:t>
            </w:r>
          </w:p>
        </w:tc>
      </w:tr>
      <w:tr>
        <w:tc>
          <w:tcPr/>
          <w:p>
            <w:pPr>
              <w:pStyle w:val="Compact"/>
            </w:pPr>
            <w:r>
              <w:t xml:space="preserve">Scenario probabilities</w:t>
            </w:r>
          </w:p>
        </w:tc>
        <w:tc>
          <w:tcPr/>
          <w:p>
            <w:pPr>
              <w:pStyle w:val="Compact"/>
            </w:pPr>
            <w:r>
              <w:t xml:space="preserve">25% / 50% / 25%</w:t>
            </w:r>
          </w:p>
        </w:tc>
        <w:tc>
          <w:tcPr/>
          <w:p>
            <w:pPr>
              <w:pStyle w:val="Compact"/>
            </w:pPr>
            <w:r>
              <w:t xml:space="preserve">ASSUMPTION</w:t>
            </w:r>
          </w:p>
        </w:tc>
      </w:tr>
      <w:tr>
        <w:tc>
          <w:tcPr/>
          <w:p>
            <w:pPr>
              <w:pStyle w:val="Compact"/>
            </w:pPr>
            <w:r>
              <w:t xml:space="preserve">Horizon exit EV/NTM-FCF Bear/Base/Bull</w:t>
            </w:r>
          </w:p>
        </w:tc>
        <w:tc>
          <w:tcPr/>
          <w:p>
            <w:pPr>
              <w:pStyle w:val="Compact"/>
            </w:pPr>
            <w:r>
              <w:t xml:space="preserve">15x / 25x / 35x</w:t>
            </w:r>
          </w:p>
        </w:tc>
        <w:tc>
          <w:tcPr/>
          <w:p>
            <w:pPr>
              <w:pStyle w:val="Compact"/>
            </w:pPr>
            <w:r>
              <w:t xml:space="preserve">ASSUMPTION</w:t>
            </w:r>
          </w:p>
        </w:tc>
      </w:tr>
      <w:tr>
        <w:tc>
          <w:tcPr/>
          <w:p>
            <w:pPr>
              <w:pStyle w:val="Compact"/>
            </w:pPr>
            <w:r>
              <w:t xml:space="preserve">Per-share conversion</w:t>
            </w:r>
          </w:p>
        </w:tc>
        <w:tc>
          <w:tcPr/>
          <w:p>
            <w:pPr>
              <w:pStyle w:val="Compact"/>
            </w:pPr>
            <w:r>
              <w:t xml:space="preserve">value × fx ÷ market cap × price</w:t>
            </w:r>
          </w:p>
        </w:tc>
        <w:tc>
          <w:tcPr/>
          <w:p>
            <w:pPr>
              <w:pStyle w:val="Compact"/>
            </w:pPr>
            <w:r>
              <w:t xml:space="preserve">METHOD: avoids ADR/share-class mismatch</w:t>
            </w:r>
          </w:p>
        </w:tc>
      </w:tr>
    </w:tbl>
    <w:bookmarkEnd w:id="19"/>
    <w:bookmarkStart w:id="20" w:name="model-provenance-模型溯源"/>
    <w:p>
      <w:pPr>
        <w:pStyle w:val="Heading2"/>
      </w:pPr>
      <w:r>
        <w:t xml:space="preserve">12. Model Provenance </w:t>
      </w:r>
      <w:r>
        <w:rPr>
          <w:rFonts w:hint="eastAsia"/>
        </w:rPr>
        <w:t xml:space="preserve">模型溯源</w:t>
      </w:r>
    </w:p>
    <w:p>
      <w:pPr>
        <w:pStyle w:val="Compact"/>
        <w:numPr>
          <w:ilvl w:val="0"/>
          <w:numId w:val="1007"/>
        </w:numPr>
      </w:pPr>
      <w:r>
        <w:t xml:space="preserve">Model file:</w:t>
      </w:r>
      <w:r>
        <w:t xml:space="preserve"> </w:t>
      </w:r>
      <w:r>
        <w:rPr>
          <w:rStyle w:val="VerbatimChar"/>
        </w:rPr>
        <w:t xml:space="preserve">CIEN_model_v20261017-0755.xlsx</w:t>
      </w:r>
      <w:r>
        <w:t xml:space="preserve"> </w:t>
      </w:r>
      <w:r>
        <w:t xml:space="preserve">(live formulas; sheets Inputs→Scenarios→DCF→ReverseDCF→Sensitivity→Horizons→SOTP→Comps→ROIC_WACC→History→Sources→Assumptions)</w:t>
      </w:r>
    </w:p>
    <w:p>
      <w:pPr>
        <w:pStyle w:val="Compact"/>
        <w:numPr>
          <w:ilvl w:val="0"/>
          <w:numId w:val="1007"/>
        </w:numPr>
      </w:pPr>
      <w:r>
        <w:t xml:space="preserve">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p>
    <w:p>
      <w:pPr>
        <w:pStyle w:val="Compact"/>
        <w:numPr>
          <w:ilvl w:val="0"/>
          <w:numId w:val="1007"/>
        </w:numPr>
      </w:pPr>
      <w:r>
        <w:t xml:space="preserve">Data snapshot:</w:t>
      </w:r>
      <w:r>
        <w:t xml:space="preserve"> </w:t>
      </w:r>
      <w:r>
        <w:rPr>
          <w:rStyle w:val="VerbatimChar"/>
        </w:rPr>
        <w:t xml:space="preserve">data/snapshots/20261017-0755</w:t>
      </w:r>
      <w:r>
        <w:t xml:space="preserve"> </w:t>
      </w:r>
      <w:r>
        <w:t xml:space="preserve">(immutable) | Fetched 2026-10-17 07:55 SGT | Generated 2026-10-17 07:57 SGT</w:t>
      </w:r>
    </w:p>
    <w:p>
      <w:pPr>
        <w:pStyle w:val="Compact"/>
        <w:numPr>
          <w:ilvl w:val="0"/>
          <w:numId w:val="1007"/>
        </w:numPr>
      </w:pPr>
      <w:r>
        <w:t xml:space="preserve">Version: v20261017-0755. Prior versions are never overwritten (see company history page).</w:t>
      </w:r>
    </w:p>
    <w:bookmarkEnd w:id="20"/>
    <w:bookmarkStart w:id="21" w:name="版本与事件时间轴"/>
    <w:p>
      <w:pPr>
        <w:pStyle w:val="Heading2"/>
      </w:pPr>
      <w:r>
        <w:t xml:space="preserve">13. </w:t>
      </w:r>
      <w:r>
        <w:rPr>
          <w:rFonts w:hint="eastAsia"/>
        </w:rPr>
        <w:t xml:space="preserve">版本与事件时间轴</w:t>
      </w:r>
    </w:p>
    <w:p>
      <w:pPr>
        <w:pStyle w:val="Compact"/>
        <w:numPr>
          <w:ilvl w:val="0"/>
          <w:numId w:val="1008"/>
        </w:numPr>
      </w:pPr>
      <w:r>
        <w:t xml:space="preserve">v20261017-0755: </w:t>
      </w:r>
      <w:r>
        <w:rPr>
          <w:rFonts w:hint="eastAsia"/>
        </w:rPr>
        <w:t xml:space="preserve">首版生产系统报告</w:t>
      </w:r>
      <w:r>
        <w:t xml:space="preserve"> </w:t>
      </w:r>
      <w:r>
        <w:rPr>
          <w:rFonts w:hint="eastAsia"/>
        </w:rPr>
        <w:t xml:space="preserve">(27家同步)。下一事件:</w:t>
      </w:r>
      <w:r>
        <w:t xml:space="preserve"> </w:t>
      </w:r>
      <w:r>
        <w:rPr>
          <w:rFonts w:hint="eastAsia"/>
        </w:rPr>
        <w:t xml:space="preserve">财报</w:t>
      </w:r>
      <w:r>
        <w:t xml:space="preserve"> 2026-09-03 (TENTATIVE)。</w:t>
      </w:r>
    </w:p>
    <w:bookmarkEnd w:id="21"/>
    <w:bookmarkStart w:id="37" w:name="图片报告-image-report"/>
    <w:p>
      <w:pPr>
        <w:pStyle w:val="Heading2"/>
      </w:pPr>
      <w:r>
        <w:rPr>
          <w:rFonts w:hint="eastAsia"/>
        </w:rPr>
        <w:t xml:space="preserve">图片报告</w:t>
      </w:r>
      <w:r>
        <w:t xml:space="preserve"> Image Report</w:t>
      </w:r>
    </w:p>
    <w:p>
      <w:pPr>
        <w:pStyle w:val="CaptionedFigure"/>
      </w:pPr>
      <w:r>
        <w:drawing>
          <wp:inline>
            <wp:extent cx="5334000" cy="3000374"/>
            <wp:effectExtent b="0" l="0" r="0" t="0"/>
            <wp:docPr descr="1_price_vs_value" title="" id="23" name="Picture"/>
            <a:graphic>
              <a:graphicData uri="http://schemas.openxmlformats.org/drawingml/2006/picture">
                <pic:pic>
                  <pic:nvPicPr>
                    <pic:cNvPr descr="images/CIEN_1_price_vs_value.png" id="24" name="Picture"/>
                    <pic:cNvPicPr>
                      <a:picLocks noChangeArrowheads="1" noChangeAspect="1"/>
                    </pic:cNvPicPr>
                  </pic:nvPicPr>
                  <pic:blipFill>
                    <a:blip r:embed="rId22"/>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1_price_vs_value</w:t>
      </w:r>
    </w:p>
    <w:p>
      <w:pPr>
        <w:pStyle w:val="BodyText"/>
      </w:pPr>
      <w:r>
        <w:rPr>
          <w:rFonts w:hint="eastAsia"/>
          <w:i/>
          <w:iCs/>
        </w:rPr>
        <w:t xml:space="preserve">股价vs三情景价值</w:t>
      </w:r>
      <w:r>
        <w:rPr>
          <w:i/>
          <w:iCs/>
        </w:rPr>
        <w:t xml:space="preserve"> Price vs scenario values</w:t>
      </w:r>
    </w:p>
    <w:p>
      <w:pPr>
        <w:pStyle w:val="CaptionedFigure"/>
      </w:pPr>
      <w:r>
        <w:drawing>
          <wp:inline>
            <wp:extent cx="5334000" cy="3000374"/>
            <wp:effectExtent b="0" l="0" r="0" t="0"/>
            <wp:docPr descr="2_financials" title="" id="26" name="Picture"/>
            <a:graphic>
              <a:graphicData uri="http://schemas.openxmlformats.org/drawingml/2006/picture">
                <pic:pic>
                  <pic:nvPicPr>
                    <pic:cNvPr descr="images/CIEN_2_financials.png" id="27" name="Picture"/>
                    <pic:cNvPicPr>
                      <a:picLocks noChangeArrowheads="1" noChangeAspect="1"/>
                    </pic:cNvPicPr>
                  </pic:nvPicPr>
                  <pic:blipFill>
                    <a:blip r:embed="rId25"/>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2_financials</w:t>
      </w:r>
    </w:p>
    <w:p>
      <w:pPr>
        <w:pStyle w:val="BodyText"/>
      </w:pPr>
      <w:r>
        <w:rPr>
          <w:rFonts w:hint="eastAsia"/>
          <w:i/>
          <w:iCs/>
        </w:rPr>
        <w:t xml:space="preserve">季度财务</w:t>
      </w:r>
      <w:r>
        <w:rPr>
          <w:i/>
          <w:iCs/>
        </w:rPr>
        <w:t xml:space="preserve"> Quarterly financials</w:t>
      </w:r>
    </w:p>
    <w:p>
      <w:pPr>
        <w:pStyle w:val="CaptionedFigure"/>
      </w:pPr>
      <w:r>
        <w:drawing>
          <wp:inline>
            <wp:extent cx="5334000" cy="3000374"/>
            <wp:effectExtent b="0" l="0" r="0" t="0"/>
            <wp:docPr descr="3_scenarios" title="" id="29" name="Picture"/>
            <a:graphic>
              <a:graphicData uri="http://schemas.openxmlformats.org/drawingml/2006/picture">
                <pic:pic>
                  <pic:nvPicPr>
                    <pic:cNvPr descr="images/CIEN_3_scenarios.png" id="30" name="Picture"/>
                    <pic:cNvPicPr>
                      <a:picLocks noChangeArrowheads="1" noChangeAspect="1"/>
                    </pic:cNvPicPr>
                  </pic:nvPicPr>
                  <pic:blipFill>
                    <a:blip r:embed="rId28"/>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3_scenarios</w:t>
      </w:r>
    </w:p>
    <w:p>
      <w:pPr>
        <w:pStyle w:val="BodyText"/>
      </w:pPr>
      <w:r>
        <w:rPr>
          <w:rFonts w:hint="eastAsia"/>
          <w:i/>
          <w:iCs/>
        </w:rPr>
        <w:t xml:space="preserve">三情景</w:t>
      </w:r>
      <w:r>
        <w:rPr>
          <w:i/>
          <w:iCs/>
        </w:rPr>
        <w:t xml:space="preserve"> Scenarios</w:t>
      </w:r>
    </w:p>
    <w:p>
      <w:pPr>
        <w:pStyle w:val="CaptionedFigure"/>
      </w:pPr>
      <w:r>
        <w:drawing>
          <wp:inline>
            <wp:extent cx="5334000" cy="3000374"/>
            <wp:effectExtent b="0" l="0" r="0" t="0"/>
            <wp:docPr descr="4_horizons" title="" id="32" name="Picture"/>
            <a:graphic>
              <a:graphicData uri="http://schemas.openxmlformats.org/drawingml/2006/picture">
                <pic:pic>
                  <pic:nvPicPr>
                    <pic:cNvPr descr="images/CIEN_4_horizons.png" id="33" name="Picture"/>
                    <pic:cNvPicPr>
                      <a:picLocks noChangeArrowheads="1" noChangeAspect="1"/>
                    </pic:cNvPicPr>
                  </pic:nvPicPr>
                  <pic:blipFill>
                    <a:blip r:embed="rId31"/>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4_horizons</w:t>
      </w:r>
    </w:p>
    <w:p>
      <w:pPr>
        <w:pStyle w:val="BodyText"/>
      </w:pPr>
      <w:r>
        <w:rPr>
          <w:rFonts w:hint="eastAsia"/>
          <w:i/>
          <w:iCs/>
        </w:rPr>
        <w:t xml:space="preserve">2/4/6/8季度检验</w:t>
      </w:r>
      <w:r>
        <w:rPr>
          <w:i/>
          <w:iCs/>
        </w:rPr>
        <w:t xml:space="preserve"> Horizon check</w:t>
      </w:r>
    </w:p>
    <w:p>
      <w:pPr>
        <w:pStyle w:val="CaptionedFigure"/>
      </w:pPr>
      <w:r>
        <w:drawing>
          <wp:inline>
            <wp:extent cx="5334000" cy="3000374"/>
            <wp:effectExtent b="0" l="0" r="0" t="0"/>
            <wp:docPr descr="5_logic_map" title="" id="35" name="Picture"/>
            <a:graphic>
              <a:graphicData uri="http://schemas.openxmlformats.org/drawingml/2006/picture">
                <pic:pic>
                  <pic:nvPicPr>
                    <pic:cNvPr descr="images/CIEN_5_logic_map.png" id="36" name="Picture"/>
                    <pic:cNvPicPr>
                      <a:picLocks noChangeArrowheads="1" noChangeAspect="1"/>
                    </pic:cNvPicPr>
                  </pic:nvPicPr>
                  <pic:blipFill>
                    <a:blip r:embed="rId34"/>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5_logic_map</w:t>
      </w:r>
    </w:p>
    <w:p>
      <w:pPr>
        <w:pStyle w:val="BodyText"/>
      </w:pPr>
      <w:r>
        <w:rPr>
          <w:rFonts w:hint="eastAsia"/>
          <w:i/>
          <w:iCs/>
        </w:rPr>
        <w:t xml:space="preserve">研究逻辑图</w:t>
      </w:r>
      <w:r>
        <w:rPr>
          <w:i/>
          <w:iCs/>
        </w:rPr>
        <w:t xml:space="preserve"> Logic map</w:t>
      </w:r>
    </w:p>
    <w:p>
      <w:r>
        <w:pict>
          <v:rect style="width:0;height:1.5pt" o:hralign="center" o:hrstd="t" o:hr="t"/>
        </w:pict>
      </w:r>
    </w:p>
    <w:bookmarkEnd w:id="37"/>
    <w:bookmarkEnd w:id="38"/>
    <w:bookmarkStart w:id="49" w:name="X8f5491636c69d4d09457e605a5cdc9fc7fa4ec2"/>
    <w:p>
      <w:pPr>
        <w:pStyle w:val="Heading1"/>
      </w:pPr>
      <w:r>
        <w:t xml:space="preserve">CIEN Ciena Corporation — Equity Deep Dive (Professional English) v20261017-0755</w:t>
      </w:r>
    </w:p>
    <w:p>
      <w:pPr>
        <w:pStyle w:val="BlockText"/>
      </w:pPr>
      <w:r>
        <w:t xml:space="preserve">Data as of 2026-10-17 07:55 SGT | Price $332.73 | Mkt cap 47.2 bn USD | Reporting currency USD | Not investment advice.</w:t>
      </w:r>
    </w:p>
    <w:bookmarkStart w:id="39" w:name="investment-thesis-hypothesis"/>
    <w:p>
      <w:pPr>
        <w:pStyle w:val="Heading2"/>
      </w:pPr>
      <w:r>
        <w:t xml:space="preserve">1. Investment thesis (HYPOTHESIS)</w:t>
      </w:r>
    </w:p>
    <w:p>
      <w:pPr>
        <w:pStyle w:val="FirstParagraph"/>
      </w:pPr>
      <w:r>
        <w:t xml:space="preserve">AI scale-across interconnect between campuses drives demand for Ciena’s 800G/1.6T coherent optics, shifting it from a carrier-cycle stock toward a cloud-growth stock.</w:t>
      </w:r>
    </w:p>
    <w:p>
      <w:pPr>
        <w:pStyle w:val="Compact"/>
        <w:numPr>
          <w:ilvl w:val="0"/>
          <w:numId w:val="1009"/>
        </w:numPr>
      </w:pPr>
      <w:r>
        <w:rPr>
          <w:b/>
          <w:bCs/>
        </w:rPr>
        <w:t xml:space="preserve">Bull drivers</w:t>
      </w:r>
      <w:r>
        <w:t xml:space="preserve">: Hyperscaler &gt;50% of revenue; pluggables and in-DC </w:t>
      </w:r>
      <w:r>
        <w:rPr>
          <w:rFonts w:hint="eastAsia"/>
        </w:rPr>
        <w:t xml:space="preserve">opportunities｜云厂收入占比超半；可插拔与机房内机会</w:t>
      </w:r>
    </w:p>
    <w:p>
      <w:pPr>
        <w:pStyle w:val="Compact"/>
        <w:numPr>
          <w:ilvl w:val="0"/>
          <w:numId w:val="1009"/>
        </w:numPr>
      </w:pPr>
      <w:r>
        <w:rPr>
          <w:b/>
          <w:bCs/>
        </w:rPr>
        <w:t xml:space="preserve">Bear drivers</w:t>
      </w:r>
      <w:r>
        <w:t xml:space="preserve">: Carrier spending weak; competition from </w:t>
      </w:r>
      <w:r>
        <w:rPr>
          <w:rFonts w:hint="eastAsia"/>
        </w:rPr>
        <w:t xml:space="preserve">Nokia/Infinera｜运营商开支疲弱；诺基亚竞争</w:t>
      </w:r>
    </w:p>
    <w:p>
      <w:pPr>
        <w:pStyle w:val="Compact"/>
        <w:numPr>
          <w:ilvl w:val="0"/>
          <w:numId w:val="1009"/>
        </w:numPr>
      </w:pPr>
      <w:r>
        <w:rPr>
          <w:b/>
          <w:bCs/>
        </w:rPr>
        <w:t xml:space="preserve">Falsifiers</w:t>
      </w:r>
      <w:r>
        <w:t xml:space="preserve">: Order book/backlog falls; GM not </w:t>
      </w:r>
      <w:r>
        <w:rPr>
          <w:rFonts w:hint="eastAsia"/>
        </w:rPr>
        <w:t xml:space="preserve">improving｜订单/积压下降；毛利不改善</w:t>
      </w:r>
    </w:p>
    <w:bookmarkEnd w:id="39"/>
    <w:bookmarkStart w:id="40" w:name="products-customers-revenue-model"/>
    <w:p>
      <w:pPr>
        <w:pStyle w:val="Heading2"/>
      </w:pPr>
      <w:r>
        <w:t xml:space="preserve">2. Products, customers, revenue model</w:t>
      </w:r>
    </w:p>
    <w:p>
      <w:pPr>
        <w:pStyle w:val="Compact"/>
        <w:numPr>
          <w:ilvl w:val="0"/>
          <w:numId w:val="1010"/>
        </w:numPr>
      </w:pPr>
      <w:r>
        <w:t xml:space="preserve">Theme: Optical networking systems </w:t>
      </w:r>
      <w:r>
        <w:rPr>
          <w:rFonts w:hint="eastAsia"/>
        </w:rPr>
        <w:t xml:space="preserve">光网络系统</w:t>
      </w:r>
      <w:r>
        <w:t xml:space="preserve"> | Segments: Networking platforms </w:t>
      </w:r>
      <w:r>
        <w:rPr>
          <w:rFonts w:hint="eastAsia"/>
        </w:rPr>
        <w:t xml:space="preserve">网络平台;</w:t>
      </w:r>
      <w:r>
        <w:t xml:space="preserve"> Platform software &amp; services </w:t>
      </w:r>
      <w:r>
        <w:rPr>
          <w:rFonts w:hint="eastAsia"/>
        </w:rPr>
        <w:t xml:space="preserve">软件服务;</w:t>
      </w:r>
      <w:r>
        <w:t xml:space="preserve"> Blue Planet</w:t>
      </w:r>
    </w:p>
    <w:p>
      <w:pPr>
        <w:pStyle w:val="Compact"/>
        <w:numPr>
          <w:ilvl w:val="0"/>
          <w:numId w:val="1010"/>
        </w:numPr>
      </w:pPr>
      <w:r>
        <w:t xml:space="preserve">Business description (DATA): Ciena Corporation, a network technology company, provides hardware, software, and services for various network operators in the Americas, Europe, the Middle East, Africa, the Asia Pacific, Japan, and India. It operates through Networking Platforms, Platform Software and Services, Blue Planet Automation Software and Services, and Global Services segments. The Networking Platforms segment consists optical networking, routing, and switching products and services. This segment products include the 6500 Packet-Optical Platform, Waveserver modular interconnect system, the 6500 Reconfigurable Line System, and coherent pluggable transceivers; and the 3000 family of service delivery platforms and the 5000 family of service aggregation, as well as the 8100 Coherent Routing platforms and virtualization software. The Platform Software and Services segment offers navigator network control suite; and</w:t>
      </w:r>
    </w:p>
    <w:p>
      <w:pPr>
        <w:pStyle w:val="Compact"/>
        <w:numPr>
          <w:ilvl w:val="0"/>
          <w:numId w:val="1010"/>
        </w:numPr>
      </w:pPr>
      <w:r>
        <w:t xml:space="preserve">Customers: Telecom carriers, hyperscalers (DCI), cable </w:t>
      </w:r>
      <w:r>
        <w:rPr>
          <w:rFonts w:hint="eastAsia"/>
        </w:rPr>
        <w:t xml:space="preserve">operators｜运营商、云厂(数据中心互连)、有线电视</w:t>
      </w:r>
    </w:p>
    <w:bookmarkEnd w:id="40"/>
    <w:bookmarkStart w:id="41" w:name="Xf7e0eebfce2361ef4d938640eaa3e4cf812446c"/>
    <w:p>
      <w:pPr>
        <w:pStyle w:val="Heading2"/>
      </w:pPr>
      <w:r>
        <w:t xml:space="preserve">3. Industry, competition, regulation, supply chain (ANALYST FRAMEWORK)</w:t>
      </w:r>
    </w:p>
    <w:p>
      <w:pPr>
        <w:pStyle w:val="Compact"/>
        <w:numPr>
          <w:ilvl w:val="0"/>
          <w:numId w:val="1011"/>
        </w:numPr>
      </w:pPr>
      <w:r>
        <w:t xml:space="preserve">Suppliers: In-house WaveLogic DSP (TSMC), lasers, </w:t>
      </w:r>
      <w:r>
        <w:rPr>
          <w:rFonts w:hint="eastAsia"/>
        </w:rPr>
        <w:t xml:space="preserve">components｜自研WaveLogic</w:t>
      </w:r>
      <w:r>
        <w:t xml:space="preserve"> </w:t>
      </w:r>
      <w:r>
        <w:rPr>
          <w:rFonts w:hint="eastAsia"/>
        </w:rPr>
        <w:t xml:space="preserve">DSP、激光器</w:t>
      </w:r>
    </w:p>
    <w:p>
      <w:pPr>
        <w:pStyle w:val="Compact"/>
        <w:numPr>
          <w:ilvl w:val="0"/>
          <w:numId w:val="1011"/>
        </w:numPr>
      </w:pPr>
      <w:r>
        <w:t xml:space="preserve">Competitors: Nokia (Infinera), Cisco (Acacia), Huawei, Coherent </w:t>
      </w:r>
      <w:r>
        <w:rPr>
          <w:rFonts w:hint="eastAsia"/>
        </w:rPr>
        <w:t xml:space="preserve">pluggables｜诺基亚、思科、华为、Coherent</w:t>
      </w:r>
    </w:p>
    <w:p>
      <w:pPr>
        <w:pStyle w:val="Compact"/>
        <w:numPr>
          <w:ilvl w:val="0"/>
          <w:numId w:val="1011"/>
        </w:numPr>
      </w:pPr>
      <w:r>
        <w:t xml:space="preserve">Bottlenecks/regulation: Component supply, hyperscaler DCI </w:t>
      </w:r>
      <w:r>
        <w:rPr>
          <w:rFonts w:hint="eastAsia"/>
        </w:rPr>
        <w:t xml:space="preserve">cycles｜器件供应、云厂DCI周期</w:t>
      </w:r>
    </w:p>
    <w:p>
      <w:pPr>
        <w:pStyle w:val="Compact"/>
        <w:numPr>
          <w:ilvl w:val="0"/>
          <w:numId w:val="1011"/>
        </w:numPr>
      </w:pPr>
      <w:r>
        <w:t xml:space="preserve">KPIs: Revenue, cloud mix, GM%, </w:t>
      </w:r>
      <w:r>
        <w:rPr>
          <w:rFonts w:hint="eastAsia"/>
        </w:rPr>
        <w:t xml:space="preserve">backlog｜收入、云占比、毛利率、积压</w:t>
      </w:r>
    </w:p>
    <w:p>
      <w:pPr>
        <w:pStyle w:val="Compact"/>
        <w:numPr>
          <w:ilvl w:val="0"/>
          <w:numId w:val="1011"/>
        </w:numPr>
      </w:pPr>
      <w:r>
        <w:t xml:space="preserve">Component spot/contract prices: paid feeds not connected —</w:t>
      </w:r>
      <w:r>
        <w:t xml:space="preserve"> </w:t>
      </w:r>
      <w:r>
        <w:rPr>
          <w:b/>
          <w:bCs/>
        </w:rPr>
        <w:t xml:space="preserve">UNAVAILABLE</w:t>
      </w:r>
      <w:r>
        <w:t xml:space="preserve">, tracked qualitatively.</w:t>
      </w:r>
    </w:p>
    <w:bookmarkEnd w:id="41"/>
    <w:bookmarkStart w:id="42" w:name="Xf82d66d225d90b4cba8a47757a9fbb4df26318d"/>
    <w:p>
      <w:pPr>
        <w:pStyle w:val="Heading2"/>
      </w:pPr>
      <w:r>
        <w:t xml:space="preserve">4. Historical financials &amp; cash flow (CONFIRMED, quarterly,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Quarter</w:t>
            </w:r>
          </w:p>
        </w:tc>
        <w:tc>
          <w:tcPr/>
          <w:p>
            <w:pPr>
              <w:pStyle w:val="Compact"/>
            </w:pPr>
            <w:r>
              <w:t xml:space="preserve">Revenue</w:t>
            </w:r>
          </w:p>
        </w:tc>
        <w:tc>
          <w:tcPr/>
          <w:p>
            <w:pPr>
              <w:pStyle w:val="Compact"/>
            </w:pPr>
            <w:r>
              <w:t xml:space="preserve">Gross profit</w:t>
            </w:r>
          </w:p>
        </w:tc>
        <w:tc>
          <w:tcPr/>
          <w:p>
            <w:pPr>
              <w:pStyle w:val="Compact"/>
            </w:pPr>
            <w:r>
              <w:t xml:space="preserve">Op income</w:t>
            </w:r>
          </w:p>
        </w:tc>
        <w:tc>
          <w:tcPr/>
          <w:p>
            <w:pPr>
              <w:pStyle w:val="Compact"/>
            </w:pPr>
            <w:r>
              <w:t xml:space="preserve">Net income</w:t>
            </w:r>
          </w:p>
        </w:tc>
        <w:tc>
          <w:tcPr/>
          <w:p>
            <w:pPr>
              <w:pStyle w:val="Compact"/>
            </w:pPr>
            <w:r>
              <w:t xml:space="preserve">FCF</w:t>
            </w:r>
          </w:p>
        </w:tc>
        <w:tc>
          <w:tcPr/>
          <w:p>
            <w:pPr>
              <w:pStyle w:val="Compact"/>
            </w:pPr>
            <w:r>
              <w:t xml:space="preserve">Op margin</w:t>
            </w:r>
          </w:p>
        </w:tc>
      </w:tr>
      <w:tr>
        <w:tc>
          <w:tcPr/>
          <w:p>
            <w:pPr>
              <w:pStyle w:val="Compact"/>
            </w:pPr>
            <w:r>
              <w:t xml:space="preserve">2026-07-31</w:t>
            </w:r>
          </w:p>
        </w:tc>
        <w:tc>
          <w:tcPr/>
          <w:p>
            <w:pPr>
              <w:pStyle w:val="Compact"/>
            </w:pPr>
            <w:r>
              <w:t xml:space="preserve">1.7 bn USD</w:t>
            </w:r>
          </w:p>
        </w:tc>
        <w:tc>
          <w:tcPr/>
          <w:p>
            <w:pPr>
              <w:pStyle w:val="Compact"/>
            </w:pPr>
            <w:r>
              <w:t xml:space="preserve">0.8 bn USD</w:t>
            </w:r>
          </w:p>
        </w:tc>
        <w:tc>
          <w:tcPr/>
          <w:p>
            <w:pPr>
              <w:pStyle w:val="Compact"/>
            </w:pPr>
            <w:r>
              <w:t xml:space="preserve">0.3 bn USD</w:t>
            </w:r>
          </w:p>
        </w:tc>
        <w:tc>
          <w:tcPr/>
          <w:p>
            <w:pPr>
              <w:pStyle w:val="Compact"/>
            </w:pPr>
            <w:r>
              <w:t xml:space="preserve">0.3 bn USD</w:t>
            </w:r>
          </w:p>
        </w:tc>
        <w:tc>
          <w:tcPr/>
          <w:p>
            <w:pPr>
              <w:pStyle w:val="Compact"/>
            </w:pPr>
            <w:r>
              <w:t xml:space="preserve">0.1 bn USD</w:t>
            </w:r>
          </w:p>
        </w:tc>
        <w:tc>
          <w:tcPr/>
          <w:p>
            <w:pPr>
              <w:pStyle w:val="Compact"/>
            </w:pPr>
            <w:r>
              <w:t xml:space="preserve">18.1%</w:t>
            </w:r>
          </w:p>
        </w:tc>
      </w:tr>
      <w:tr>
        <w:tc>
          <w:tcPr/>
          <w:p>
            <w:pPr>
              <w:pStyle w:val="Compact"/>
            </w:pPr>
            <w:r>
              <w:t xml:space="preserve">2026-04-30</w:t>
            </w:r>
          </w:p>
        </w:tc>
        <w:tc>
          <w:tcPr/>
          <w:p>
            <w:pPr>
              <w:pStyle w:val="Compact"/>
            </w:pPr>
            <w:r>
              <w:t xml:space="preserve">1.6 bn USD</w:t>
            </w:r>
          </w:p>
        </w:tc>
        <w:tc>
          <w:tcPr/>
          <w:p>
            <w:pPr>
              <w:pStyle w:val="Compact"/>
            </w:pPr>
            <w:r>
              <w:t xml:space="preserve">0.7 bn USD</w:t>
            </w:r>
          </w:p>
        </w:tc>
        <w:tc>
          <w:tcPr/>
          <w:p>
            <w:pPr>
              <w:pStyle w:val="Compact"/>
            </w:pPr>
            <w:r>
              <w:t xml:space="preserve">0.2 bn USD</w:t>
            </w:r>
          </w:p>
        </w:tc>
        <w:tc>
          <w:tcPr/>
          <w:p>
            <w:pPr>
              <w:pStyle w:val="Compact"/>
            </w:pPr>
            <w:r>
              <w:t xml:space="preserve">0.2 bn USD</w:t>
            </w:r>
          </w:p>
        </w:tc>
        <w:tc>
          <w:tcPr/>
          <w:p>
            <w:pPr>
              <w:pStyle w:val="Compact"/>
            </w:pPr>
            <w:r>
              <w:t xml:space="preserve">0.2 bn USD</w:t>
            </w:r>
          </w:p>
        </w:tc>
        <w:tc>
          <w:tcPr/>
          <w:p>
            <w:pPr>
              <w:pStyle w:val="Compact"/>
            </w:pPr>
            <w:r>
              <w:t xml:space="preserve">15.2%</w:t>
            </w:r>
          </w:p>
        </w:tc>
      </w:tr>
      <w:tr>
        <w:tc>
          <w:tcPr/>
          <w:p>
            <w:pPr>
              <w:pStyle w:val="Compact"/>
            </w:pPr>
            <w:r>
              <w:t xml:space="preserve">2026-01-31</w:t>
            </w:r>
          </w:p>
        </w:tc>
        <w:tc>
          <w:tcPr/>
          <w:p>
            <w:pPr>
              <w:pStyle w:val="Compact"/>
            </w:pPr>
            <w:r>
              <w:t xml:space="preserve">1.4 bn USD</w:t>
            </w:r>
          </w:p>
        </w:tc>
        <w:tc>
          <w:tcPr/>
          <w:p>
            <w:pPr>
              <w:pStyle w:val="Compact"/>
            </w:pPr>
            <w:r>
              <w:t xml:space="preserve">0.6 bn USD</w:t>
            </w:r>
          </w:p>
        </w:tc>
        <w:tc>
          <w:tcPr/>
          <w:p>
            <w:pPr>
              <w:pStyle w:val="Compact"/>
            </w:pPr>
            <w:r>
              <w:t xml:space="preserve">0.2 bn USD</w:t>
            </w:r>
          </w:p>
        </w:tc>
        <w:tc>
          <w:tcPr/>
          <w:p>
            <w:pPr>
              <w:pStyle w:val="Compact"/>
            </w:pPr>
            <w:r>
              <w:t xml:space="preserve">0.2 bn USD</w:t>
            </w:r>
          </w:p>
        </w:tc>
        <w:tc>
          <w:tcPr/>
          <w:p>
            <w:pPr>
              <w:pStyle w:val="Compact"/>
            </w:pPr>
            <w:r>
              <w:t xml:space="preserve">0.2 bn USD</w:t>
            </w:r>
          </w:p>
        </w:tc>
        <w:tc>
          <w:tcPr/>
          <w:p>
            <w:pPr>
              <w:pStyle w:val="Compact"/>
            </w:pPr>
            <w:r>
              <w:t xml:space="preserve">13.4%</w:t>
            </w:r>
          </w:p>
        </w:tc>
      </w:tr>
      <w:tr>
        <w:tc>
          <w:tcPr/>
          <w:p>
            <w:pPr>
              <w:pStyle w:val="Compact"/>
            </w:pPr>
            <w:r>
              <w:t xml:space="preserve">2025-10-31</w:t>
            </w:r>
          </w:p>
        </w:tc>
        <w:tc>
          <w:tcPr/>
          <w:p>
            <w:pPr>
              <w:pStyle w:val="Compact"/>
            </w:pPr>
            <w:r>
              <w:t xml:space="preserve">1.4 bn USD</w:t>
            </w:r>
          </w:p>
        </w:tc>
        <w:tc>
          <w:tcPr/>
          <w:p>
            <w:pPr>
              <w:pStyle w:val="Compact"/>
            </w:pPr>
            <w:r>
              <w:t xml:space="preserve">0.6 bn USD</w:t>
            </w:r>
          </w:p>
        </w:tc>
        <w:tc>
          <w:tcPr/>
          <w:p>
            <w:pPr>
              <w:pStyle w:val="Compact"/>
            </w:pPr>
            <w:r>
              <w:t xml:space="preserve">0.1 bn USD</w:t>
            </w:r>
          </w:p>
        </w:tc>
        <w:tc>
          <w:tcPr/>
          <w:p>
            <w:pPr>
              <w:pStyle w:val="Compact"/>
            </w:pPr>
            <w:r>
              <w:t xml:space="preserve">19.5 mn USD</w:t>
            </w:r>
          </w:p>
        </w:tc>
        <w:tc>
          <w:tcPr/>
          <w:p>
            <w:pPr>
              <w:pStyle w:val="Compact"/>
            </w:pPr>
            <w:r>
              <w:t xml:space="preserve">0.3 bn USD</w:t>
            </w:r>
          </w:p>
        </w:tc>
        <w:tc>
          <w:tcPr/>
          <w:p>
            <w:pPr>
              <w:pStyle w:val="Compact"/>
            </w:pPr>
            <w:r>
              <w:t xml:space="preserve">8.8%</w:t>
            </w:r>
          </w:p>
        </w:tc>
      </w:tr>
      <w:tr>
        <w:tc>
          <w:tcPr/>
          <w:p>
            <w:pPr>
              <w:pStyle w:val="Compact"/>
            </w:pPr>
            <w:r>
              <w:t xml:space="preserve">2025-07-31</w:t>
            </w:r>
          </w:p>
        </w:tc>
        <w:tc>
          <w:tcPr/>
          <w:p>
            <w:pPr>
              <w:pStyle w:val="Compact"/>
            </w:pPr>
            <w:r>
              <w:t xml:space="preserve">1.2 bn USD</w:t>
            </w:r>
          </w:p>
        </w:tc>
        <w:tc>
          <w:tcPr/>
          <w:p>
            <w:pPr>
              <w:pStyle w:val="Compact"/>
            </w:pPr>
            <w:r>
              <w:t xml:space="preserve">0.5 bn USD</w:t>
            </w:r>
          </w:p>
        </w:tc>
        <w:tc>
          <w:tcPr/>
          <w:p>
            <w:pPr>
              <w:pStyle w:val="Compact"/>
            </w:pPr>
            <w:r>
              <w:t xml:space="preserve">75.3 mn USD</w:t>
            </w:r>
          </w:p>
        </w:tc>
        <w:tc>
          <w:tcPr/>
          <w:p>
            <w:pPr>
              <w:pStyle w:val="Compact"/>
            </w:pPr>
            <w:r>
              <w:t xml:space="preserve">50.3 mn USD</w:t>
            </w:r>
          </w:p>
        </w:tc>
        <w:tc>
          <w:tcPr/>
          <w:p>
            <w:pPr>
              <w:pStyle w:val="Compact"/>
            </w:pPr>
            <w:r>
              <w:t xml:space="preserve">0.1 bn USD</w:t>
            </w:r>
          </w:p>
        </w:tc>
        <w:tc>
          <w:tcPr/>
          <w:p>
            <w:pPr>
              <w:pStyle w:val="Compact"/>
            </w:pPr>
            <w:r>
              <w:t xml:space="preserve">6.2%</w:t>
            </w:r>
          </w:p>
        </w:tc>
      </w:tr>
      <w:tr>
        <w:tc>
          <w:tcPr/>
          <w:p>
            <w:pPr>
              <w:pStyle w:val="Compact"/>
            </w:pPr>
            <w:r>
              <w:t xml:space="preserve">2025-04-30</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r>
        <w:tc>
          <w:tcPr/>
          <w:p>
            <w:pPr>
              <w:pStyle w:val="Compact"/>
            </w:pPr>
            <w:r>
              <w:t xml:space="preserve">2025-01-31</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t xml:space="preserve">Cash 2.6 bn USD; debt 3.3 bn USD; TTM FCF 0.8 bn USD (FCF margin 13.5%).</w:t>
      </w:r>
    </w:p>
    <w:bookmarkEnd w:id="42"/>
    <w:bookmarkStart w:id="43" w:name="X3c821d6e9fede090eb3c69e03178b96148c2c25"/>
    <w:p>
      <w:pPr>
        <w:pStyle w:val="Heading2"/>
      </w:pPr>
      <w:r>
        <w:t xml:space="preserve">5. Latest earnings: actual vs consensus vs guidance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Quarter</w:t>
            </w:r>
          </w:p>
        </w:tc>
        <w:tc>
          <w:tcPr/>
          <w:p>
            <w:pPr>
              <w:pStyle w:val="Compact"/>
            </w:pPr>
            <w:r>
              <w:t xml:space="preserve">EPS actual</w:t>
            </w:r>
          </w:p>
        </w:tc>
        <w:tc>
          <w:tcPr/>
          <w:p>
            <w:pPr>
              <w:pStyle w:val="Compact"/>
            </w:pPr>
            <w:r>
              <w:t xml:space="preserve">EPS consensus</w:t>
            </w:r>
          </w:p>
        </w:tc>
        <w:tc>
          <w:tcPr/>
          <w:p>
            <w:pPr>
              <w:pStyle w:val="Compact"/>
            </w:pPr>
            <w:r>
              <w:t xml:space="preserve">Surprise</w:t>
            </w:r>
          </w:p>
        </w:tc>
      </w:tr>
      <w:tr>
        <w:tc>
          <w:tcPr/>
          <w:p>
            <w:pPr>
              <w:pStyle w:val="Compact"/>
            </w:pPr>
            <w:r>
              <w:t xml:space="preserve">2025-10-31</w:t>
            </w:r>
          </w:p>
        </w:tc>
        <w:tc>
          <w:tcPr/>
          <w:p>
            <w:pPr>
              <w:pStyle w:val="Compact"/>
            </w:pPr>
            <w:r>
              <w:t xml:space="preserve">0.91</w:t>
            </w:r>
          </w:p>
        </w:tc>
        <w:tc>
          <w:tcPr/>
          <w:p>
            <w:pPr>
              <w:pStyle w:val="Compact"/>
            </w:pPr>
            <w:r>
              <w:t xml:space="preserve">0.76964</w:t>
            </w:r>
          </w:p>
        </w:tc>
        <w:tc>
          <w:tcPr/>
          <w:p>
            <w:pPr>
              <w:pStyle w:val="Compact"/>
            </w:pPr>
            <w:r>
              <w:t xml:space="preserve">0.1824</w:t>
            </w:r>
          </w:p>
        </w:tc>
      </w:tr>
      <w:tr>
        <w:tc>
          <w:tcPr/>
          <w:p>
            <w:pPr>
              <w:pStyle w:val="Compact"/>
            </w:pPr>
            <w:r>
              <w:t xml:space="preserve">2026-01-31</w:t>
            </w:r>
          </w:p>
        </w:tc>
        <w:tc>
          <w:tcPr/>
          <w:p>
            <w:pPr>
              <w:pStyle w:val="Compact"/>
            </w:pPr>
            <w:r>
              <w:t xml:space="preserve">1.35</w:t>
            </w:r>
          </w:p>
        </w:tc>
        <w:tc>
          <w:tcPr/>
          <w:p>
            <w:pPr>
              <w:pStyle w:val="Compact"/>
            </w:pPr>
            <w:r>
              <w:t xml:space="preserve">1.16833</w:t>
            </w:r>
          </w:p>
        </w:tc>
        <w:tc>
          <w:tcPr/>
          <w:p>
            <w:pPr>
              <w:pStyle w:val="Compact"/>
            </w:pPr>
            <w:r>
              <w:t xml:space="preserve">0.1555</w:t>
            </w:r>
          </w:p>
        </w:tc>
      </w:tr>
      <w:tr>
        <w:tc>
          <w:tcPr/>
          <w:p>
            <w:pPr>
              <w:pStyle w:val="Compact"/>
            </w:pPr>
            <w:r>
              <w:t xml:space="preserve">2026-04-30</w:t>
            </w:r>
          </w:p>
        </w:tc>
        <w:tc>
          <w:tcPr/>
          <w:p>
            <w:pPr>
              <w:pStyle w:val="Compact"/>
            </w:pPr>
            <w:r>
              <w:t xml:space="preserve">1.64</w:t>
            </w:r>
          </w:p>
        </w:tc>
        <w:tc>
          <w:tcPr/>
          <w:p>
            <w:pPr>
              <w:pStyle w:val="Compact"/>
            </w:pPr>
            <w:r>
              <w:t xml:space="preserve">1.45989</w:t>
            </w:r>
          </w:p>
        </w:tc>
        <w:tc>
          <w:tcPr/>
          <w:p>
            <w:pPr>
              <w:pStyle w:val="Compact"/>
            </w:pPr>
            <w:r>
              <w:t xml:space="preserve">0.1234</w:t>
            </w:r>
          </w:p>
        </w:tc>
      </w:tr>
      <w:tr>
        <w:tc>
          <w:tcPr/>
          <w:p>
            <w:pPr>
              <w:pStyle w:val="Compact"/>
            </w:pPr>
            <w:r>
              <w:t xml:space="preserve">2026-07-31</w:t>
            </w:r>
          </w:p>
        </w:tc>
        <w:tc>
          <w:tcPr/>
          <w:p>
            <w:pPr>
              <w:pStyle w:val="Compact"/>
            </w:pPr>
            <w:r>
              <w:t xml:space="preserve">2.11</w:t>
            </w:r>
          </w:p>
        </w:tc>
        <w:tc>
          <w:tcPr/>
          <w:p>
            <w:pPr>
              <w:pStyle w:val="Compact"/>
            </w:pPr>
            <w:r>
              <w:t xml:space="preserve">1.72756</w:t>
            </w:r>
          </w:p>
        </w:tc>
        <w:tc>
          <w:tcPr/>
          <w:p>
            <w:pPr>
              <w:pStyle w:val="Compact"/>
            </w:pPr>
            <w:r>
              <w:t xml:space="preserve">0.2214</w:t>
            </w:r>
          </w:p>
        </w:tc>
      </w:tr>
    </w:tbl>
    <w:p>
      <w:pPr>
        <w:pStyle w:val="Compact"/>
        <w:numPr>
          <w:ilvl w:val="0"/>
          <w:numId w:val="1012"/>
        </w:numPr>
      </w:pPr>
      <w:r>
        <w:t xml:space="preserve">Management guidance: not in automated feed —</w:t>
      </w:r>
      <w:r>
        <w:t xml:space="preserve"> </w:t>
      </w:r>
      <w:r>
        <w:rPr>
          <w:b/>
          <w:bCs/>
        </w:rPr>
        <w:t xml:space="preserve">UNAVAILABLE (to be entered from IR release)</w:t>
      </w:r>
      <w:r>
        <w:t xml:space="preserve">.</w:t>
      </w:r>
    </w:p>
    <w:p>
      <w:pPr>
        <w:pStyle w:val="Compact"/>
        <w:numPr>
          <w:ilvl w:val="0"/>
          <w:numId w:val="1012"/>
        </w:numPr>
      </w:pPr>
      <w:r>
        <w:t xml:space="preserve">Next earnings (Yahoo; TENTATIVE until company-confirmed):</w:t>
      </w:r>
      <w:r>
        <w:t xml:space="preserve"> </w:t>
      </w:r>
      <w:r>
        <w:rPr>
          <w:b/>
          <w:bCs/>
        </w:rPr>
        <w:t xml:space="preserve">2026-09-03</w:t>
      </w:r>
      <w:r>
        <w:t xml:space="preserve">; current-quarter EPS consensus 1.61699 (5 analysts); revenue consensus 1.8 bn USD.</w:t>
      </w:r>
    </w:p>
    <w:bookmarkEnd w:id="43"/>
    <w:bookmarkStart w:id="44" w:name="quarter-drivers-price-reasonableness"/>
    <w:p>
      <w:pPr>
        <w:pStyle w:val="Heading2"/>
      </w:pPr>
      <w:r>
        <w:t xml:space="preserve">6. 2/4/6/8-quarter drivers &amp; price reasonableness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Horizon</w:t>
            </w:r>
          </w:p>
        </w:tc>
        <w:tc>
          <w:tcPr/>
          <w:p>
            <w:pPr>
              <w:pStyle w:val="Compact"/>
            </w:pPr>
            <w:r>
              <w:t xml:space="preserve">Scenario</w:t>
            </w:r>
          </w:p>
        </w:tc>
        <w:tc>
          <w:tcPr/>
          <w:p>
            <w:pPr>
              <w:pStyle w:val="Compact"/>
            </w:pPr>
            <w:r>
              <w:t xml:space="preserve">PV of horizon price</w:t>
            </w:r>
          </w:p>
        </w:tc>
        <w:tc>
          <w:tcPr/>
          <w:p>
            <w:pPr>
              <w:pStyle w:val="Compact"/>
            </w:pPr>
            <w:r>
              <w:t xml:space="preserve">vs current</w:t>
            </w:r>
          </w:p>
        </w:tc>
      </w:tr>
      <w:tr>
        <w:tc>
          <w:tcPr/>
          <w:p>
            <w:pPr>
              <w:pStyle w:val="Compact"/>
            </w:pPr>
            <w:r>
              <w:t xml:space="preserve">2Q</w:t>
            </w:r>
          </w:p>
        </w:tc>
        <w:tc>
          <w:tcPr/>
          <w:p>
            <w:pPr>
              <w:pStyle w:val="Compact"/>
            </w:pPr>
            <w:r>
              <w:t xml:space="preserve">Bear</w:t>
            </w:r>
          </w:p>
        </w:tc>
        <w:tc>
          <w:tcPr/>
          <w:p>
            <w:pPr>
              <w:pStyle w:val="Compact"/>
            </w:pPr>
            <w:r>
              <w:t xml:space="preserve">$92.98</w:t>
            </w:r>
          </w:p>
        </w:tc>
        <w:tc>
          <w:tcPr/>
          <w:p>
            <w:pPr>
              <w:pStyle w:val="Compact"/>
            </w:pPr>
            <w:r>
              <w:t xml:space="preserve">-72.1%</w:t>
            </w:r>
          </w:p>
        </w:tc>
      </w:tr>
      <w:tr>
        <w:tc>
          <w:tcPr/>
          <w:p>
            <w:pPr>
              <w:pStyle w:val="Compact"/>
            </w:pPr>
            <w:r>
              <w:t xml:space="preserve">2Q</w:t>
            </w:r>
          </w:p>
        </w:tc>
        <w:tc>
          <w:tcPr/>
          <w:p>
            <w:pPr>
              <w:pStyle w:val="Compact"/>
            </w:pPr>
            <w:r>
              <w:t xml:space="preserve">Base</w:t>
            </w:r>
          </w:p>
        </w:tc>
        <w:tc>
          <w:tcPr/>
          <w:p>
            <w:pPr>
              <w:pStyle w:val="Compact"/>
            </w:pPr>
            <w:r>
              <w:t xml:space="preserve">$205.93</w:t>
            </w:r>
          </w:p>
        </w:tc>
        <w:tc>
          <w:tcPr/>
          <w:p>
            <w:pPr>
              <w:pStyle w:val="Compact"/>
            </w:pPr>
            <w:r>
              <w:t xml:space="preserve">-38.1%</w:t>
            </w:r>
          </w:p>
        </w:tc>
      </w:tr>
      <w:tr>
        <w:tc>
          <w:tcPr/>
          <w:p>
            <w:pPr>
              <w:pStyle w:val="Compact"/>
            </w:pPr>
            <w:r>
              <w:t xml:space="preserve">2Q</w:t>
            </w:r>
          </w:p>
        </w:tc>
        <w:tc>
          <w:tcPr/>
          <w:p>
            <w:pPr>
              <w:pStyle w:val="Compact"/>
            </w:pPr>
            <w:r>
              <w:t xml:space="preserve">Bull</w:t>
            </w:r>
          </w:p>
        </w:tc>
        <w:tc>
          <w:tcPr/>
          <w:p>
            <w:pPr>
              <w:pStyle w:val="Compact"/>
            </w:pPr>
            <w:r>
              <w:t xml:space="preserve">$338.43</w:t>
            </w:r>
          </w:p>
        </w:tc>
        <w:tc>
          <w:tcPr/>
          <w:p>
            <w:pPr>
              <w:pStyle w:val="Compact"/>
            </w:pPr>
            <w:r>
              <w:t xml:space="preserve">1.7%</w:t>
            </w:r>
          </w:p>
        </w:tc>
      </w:tr>
      <w:tr>
        <w:tc>
          <w:tcPr/>
          <w:p>
            <w:pPr>
              <w:pStyle w:val="Compact"/>
            </w:pPr>
            <w:r>
              <w:t xml:space="preserve">4Q</w:t>
            </w:r>
          </w:p>
        </w:tc>
        <w:tc>
          <w:tcPr/>
          <w:p>
            <w:pPr>
              <w:pStyle w:val="Compact"/>
            </w:pPr>
            <w:r>
              <w:t xml:space="preserve">Bear</w:t>
            </w:r>
          </w:p>
        </w:tc>
        <w:tc>
          <w:tcPr/>
          <w:p>
            <w:pPr>
              <w:pStyle w:val="Compact"/>
            </w:pPr>
            <w:r>
              <w:t xml:space="preserve">$93.33</w:t>
            </w:r>
          </w:p>
        </w:tc>
        <w:tc>
          <w:tcPr/>
          <w:p>
            <w:pPr>
              <w:pStyle w:val="Compact"/>
            </w:pPr>
            <w:r>
              <w:t xml:space="preserve">-72.0%</w:t>
            </w:r>
          </w:p>
        </w:tc>
      </w:tr>
      <w:tr>
        <w:tc>
          <w:tcPr/>
          <w:p>
            <w:pPr>
              <w:pStyle w:val="Compact"/>
            </w:pPr>
            <w:r>
              <w:t xml:space="preserve">4Q</w:t>
            </w:r>
          </w:p>
        </w:tc>
        <w:tc>
          <w:tcPr/>
          <w:p>
            <w:pPr>
              <w:pStyle w:val="Compact"/>
            </w:pPr>
            <w:r>
              <w:t xml:space="preserve">Base</w:t>
            </w:r>
          </w:p>
        </w:tc>
        <w:tc>
          <w:tcPr/>
          <w:p>
            <w:pPr>
              <w:pStyle w:val="Compact"/>
            </w:pPr>
            <w:r>
              <w:t xml:space="preserve">$226.11</w:t>
            </w:r>
          </w:p>
        </w:tc>
        <w:tc>
          <w:tcPr/>
          <w:p>
            <w:pPr>
              <w:pStyle w:val="Compact"/>
            </w:pPr>
            <w:r>
              <w:t xml:space="preserve">-32.0%</w:t>
            </w:r>
          </w:p>
        </w:tc>
      </w:tr>
      <w:tr>
        <w:tc>
          <w:tcPr/>
          <w:p>
            <w:pPr>
              <w:pStyle w:val="Compact"/>
            </w:pPr>
            <w:r>
              <w:t xml:space="preserve">4Q</w:t>
            </w:r>
          </w:p>
        </w:tc>
        <w:tc>
          <w:tcPr/>
          <w:p>
            <w:pPr>
              <w:pStyle w:val="Compact"/>
            </w:pPr>
            <w:r>
              <w:t xml:space="preserve">Bull</w:t>
            </w:r>
          </w:p>
        </w:tc>
        <w:tc>
          <w:tcPr/>
          <w:p>
            <w:pPr>
              <w:pStyle w:val="Compact"/>
            </w:pPr>
            <w:r>
              <w:t xml:space="preserve">$390.85</w:t>
            </w:r>
          </w:p>
        </w:tc>
        <w:tc>
          <w:tcPr/>
          <w:p>
            <w:pPr>
              <w:pStyle w:val="Compact"/>
            </w:pPr>
            <w:r>
              <w:t xml:space="preserve">17.5%</w:t>
            </w:r>
          </w:p>
        </w:tc>
      </w:tr>
      <w:tr>
        <w:tc>
          <w:tcPr/>
          <w:p>
            <w:pPr>
              <w:pStyle w:val="Compact"/>
            </w:pPr>
            <w:r>
              <w:t xml:space="preserve">6Q</w:t>
            </w:r>
          </w:p>
        </w:tc>
        <w:tc>
          <w:tcPr/>
          <w:p>
            <w:pPr>
              <w:pStyle w:val="Compact"/>
            </w:pPr>
            <w:r>
              <w:t xml:space="preserve">Bear</w:t>
            </w:r>
          </w:p>
        </w:tc>
        <w:tc>
          <w:tcPr/>
          <w:p>
            <w:pPr>
              <w:pStyle w:val="Compact"/>
            </w:pPr>
            <w:r>
              <w:t xml:space="preserve">$93.65</w:t>
            </w:r>
          </w:p>
        </w:tc>
        <w:tc>
          <w:tcPr/>
          <w:p>
            <w:pPr>
              <w:pStyle w:val="Compact"/>
            </w:pPr>
            <w:r>
              <w:t xml:space="preserve">-71.9%</w:t>
            </w:r>
          </w:p>
        </w:tc>
      </w:tr>
      <w:tr>
        <w:tc>
          <w:tcPr/>
          <w:p>
            <w:pPr>
              <w:pStyle w:val="Compact"/>
            </w:pPr>
            <w:r>
              <w:t xml:space="preserve">6Q</w:t>
            </w:r>
          </w:p>
        </w:tc>
        <w:tc>
          <w:tcPr/>
          <w:p>
            <w:pPr>
              <w:pStyle w:val="Compact"/>
            </w:pPr>
            <w:r>
              <w:t xml:space="preserve">Base</w:t>
            </w:r>
          </w:p>
        </w:tc>
        <w:tc>
          <w:tcPr/>
          <w:p>
            <w:pPr>
              <w:pStyle w:val="Compact"/>
            </w:pPr>
            <w:r>
              <w:t xml:space="preserve">$248.15</w:t>
            </w:r>
          </w:p>
        </w:tc>
        <w:tc>
          <w:tcPr/>
          <w:p>
            <w:pPr>
              <w:pStyle w:val="Compact"/>
            </w:pPr>
            <w:r>
              <w:t xml:space="preserve">-25.4%</w:t>
            </w:r>
          </w:p>
        </w:tc>
      </w:tr>
      <w:tr>
        <w:tc>
          <w:tcPr/>
          <w:p>
            <w:pPr>
              <w:pStyle w:val="Compact"/>
            </w:pPr>
            <w:r>
              <w:t xml:space="preserve">6Q</w:t>
            </w:r>
          </w:p>
        </w:tc>
        <w:tc>
          <w:tcPr/>
          <w:p>
            <w:pPr>
              <w:pStyle w:val="Compact"/>
            </w:pPr>
            <w:r>
              <w:t xml:space="preserve">Bull</w:t>
            </w:r>
          </w:p>
        </w:tc>
        <w:tc>
          <w:tcPr/>
          <w:p>
            <w:pPr>
              <w:pStyle w:val="Compact"/>
            </w:pPr>
            <w:r>
              <w:t xml:space="preserve">$450.92</w:t>
            </w:r>
          </w:p>
        </w:tc>
        <w:tc>
          <w:tcPr/>
          <w:p>
            <w:pPr>
              <w:pStyle w:val="Compact"/>
            </w:pPr>
            <w:r>
              <w:t xml:space="preserve">35.5%</w:t>
            </w:r>
          </w:p>
        </w:tc>
      </w:tr>
      <w:tr>
        <w:tc>
          <w:tcPr/>
          <w:p>
            <w:pPr>
              <w:pStyle w:val="Compact"/>
            </w:pPr>
            <w:r>
              <w:t xml:space="preserve">8Q</w:t>
            </w:r>
          </w:p>
        </w:tc>
        <w:tc>
          <w:tcPr/>
          <w:p>
            <w:pPr>
              <w:pStyle w:val="Compact"/>
            </w:pPr>
            <w:r>
              <w:t xml:space="preserve">Bear</w:t>
            </w:r>
          </w:p>
        </w:tc>
        <w:tc>
          <w:tcPr/>
          <w:p>
            <w:pPr>
              <w:pStyle w:val="Compact"/>
            </w:pPr>
            <w:r>
              <w:t xml:space="preserve">$93.95</w:t>
            </w:r>
          </w:p>
        </w:tc>
        <w:tc>
          <w:tcPr/>
          <w:p>
            <w:pPr>
              <w:pStyle w:val="Compact"/>
            </w:pPr>
            <w:r>
              <w:t xml:space="preserve">-71.8%</w:t>
            </w:r>
          </w:p>
        </w:tc>
      </w:tr>
      <w:tr>
        <w:tc>
          <w:tcPr/>
          <w:p>
            <w:pPr>
              <w:pStyle w:val="Compact"/>
            </w:pPr>
            <w:r>
              <w:t xml:space="preserve">8Q</w:t>
            </w:r>
          </w:p>
        </w:tc>
        <w:tc>
          <w:tcPr/>
          <w:p>
            <w:pPr>
              <w:pStyle w:val="Compact"/>
            </w:pPr>
            <w:r>
              <w:t xml:space="preserve">Base</w:t>
            </w:r>
          </w:p>
        </w:tc>
        <w:tc>
          <w:tcPr/>
          <w:p>
            <w:pPr>
              <w:pStyle w:val="Compact"/>
            </w:pPr>
            <w:r>
              <w:t xml:space="preserve">$272.21</w:t>
            </w:r>
          </w:p>
        </w:tc>
        <w:tc>
          <w:tcPr/>
          <w:p>
            <w:pPr>
              <w:pStyle w:val="Compact"/>
            </w:pPr>
            <w:r>
              <w:t xml:space="preserve">-18.2%</w:t>
            </w:r>
          </w:p>
        </w:tc>
      </w:tr>
      <w:tr>
        <w:tc>
          <w:tcPr/>
          <w:p>
            <w:pPr>
              <w:pStyle w:val="Compact"/>
            </w:pPr>
            <w:r>
              <w:t xml:space="preserve">8Q</w:t>
            </w:r>
          </w:p>
        </w:tc>
        <w:tc>
          <w:tcPr/>
          <w:p>
            <w:pPr>
              <w:pStyle w:val="Compact"/>
            </w:pPr>
            <w:r>
              <w:t xml:space="preserve">Bull</w:t>
            </w:r>
          </w:p>
        </w:tc>
        <w:tc>
          <w:tcPr/>
          <w:p>
            <w:pPr>
              <w:pStyle w:val="Compact"/>
            </w:pPr>
            <w:r>
              <w:t xml:space="preserve">$519.75</w:t>
            </w:r>
          </w:p>
        </w:tc>
        <w:tc>
          <w:tcPr/>
          <w:p>
            <w:pPr>
              <w:pStyle w:val="Compact"/>
            </w:pPr>
            <w:r>
              <w:t xml:space="preserve">56.2%</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Current-price implied EV/NTM-FCF on Base path:</w:t>
            </w:r>
          </w:p>
        </w:tc>
        <w:tc>
          <w:tcPr/>
          <w:p>
            <w:pPr>
              <w:pStyle w:val="Compact"/>
            </w:pPr>
            <w:r>
              <w:t xml:space="preserve">Horizon</w:t>
            </w:r>
          </w:p>
        </w:tc>
      </w:tr>
      <w:tr>
        <w:tc>
          <w:tcPr/>
          <w:p>
            <w:pPr>
              <w:pStyle w:val="Compact"/>
            </w:pPr>
            <w:r>
              <w:t xml:space="preserve">2Q</w:t>
            </w:r>
          </w:p>
        </w:tc>
        <w:tc>
          <w:tcPr/>
          <w:p>
            <w:pPr>
              <w:pStyle w:val="Compact"/>
            </w:pPr>
            <w:r>
              <w:t xml:space="preserve">38.0x</w:t>
            </w:r>
          </w:p>
        </w:tc>
      </w:tr>
      <w:tr>
        <w:tc>
          <w:tcPr/>
          <w:p>
            <w:pPr>
              <w:pStyle w:val="Compact"/>
            </w:pPr>
            <w:r>
              <w:t xml:space="preserve">4Q</w:t>
            </w:r>
          </w:p>
        </w:tc>
        <w:tc>
          <w:tcPr/>
          <w:p>
            <w:pPr>
              <w:pStyle w:val="Compact"/>
            </w:pPr>
            <w:r>
              <w:t xml:space="preserve">32.8x</w:t>
            </w:r>
          </w:p>
        </w:tc>
      </w:tr>
      <w:tr>
        <w:tc>
          <w:tcPr/>
          <w:p>
            <w:pPr>
              <w:pStyle w:val="Compact"/>
            </w:pPr>
            <w:r>
              <w:t xml:space="preserve">6Q</w:t>
            </w:r>
          </w:p>
        </w:tc>
        <w:tc>
          <w:tcPr/>
          <w:p>
            <w:pPr>
              <w:pStyle w:val="Compact"/>
            </w:pPr>
            <w:r>
              <w:t xml:space="preserve">28.4x</w:t>
            </w:r>
          </w:p>
        </w:tc>
      </w:tr>
      <w:tr>
        <w:tc>
          <w:tcPr/>
          <w:p>
            <w:pPr>
              <w:pStyle w:val="Compact"/>
            </w:pPr>
            <w:r>
              <w:t xml:space="preserve">8Q</w:t>
            </w:r>
          </w:p>
        </w:tc>
        <w:tc>
          <w:tcPr/>
          <w:p>
            <w:pPr>
              <w:pStyle w:val="Compact"/>
            </w:pPr>
            <w:r>
              <w:t xml:space="preserve">24.6x</w:t>
            </w:r>
          </w:p>
        </w:tc>
      </w:tr>
    </w:tbl>
    <w:bookmarkEnd w:id="44"/>
    <w:bookmarkStart w:id="45" w:name="bear-base-bull-hypothesis"/>
    <w:p>
      <w:pPr>
        <w:pStyle w:val="Heading2"/>
      </w:pPr>
      <w:r>
        <w:t xml:space="preserve">7.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Scenario</w:t>
            </w:r>
          </w:p>
        </w:tc>
        <w:tc>
          <w:tcPr/>
          <w:p>
            <w:pPr>
              <w:pStyle w:val="Compact"/>
            </w:pPr>
            <w:r>
              <w:t xml:space="preserve">Y1 growth</w:t>
            </w:r>
          </w:p>
        </w:tc>
        <w:tc>
          <w:tcPr/>
          <w:p>
            <w:pPr>
              <w:pStyle w:val="Compact"/>
            </w:pPr>
            <w:r>
              <w:t xml:space="preserve">LR FCF margin</w:t>
            </w:r>
          </w:p>
        </w:tc>
        <w:tc>
          <w:tcPr/>
          <w:p>
            <w:pPr>
              <w:pStyle w:val="Compact"/>
            </w:pPr>
            <w:r>
              <w:t xml:space="preserve">WACC</w:t>
            </w:r>
          </w:p>
        </w:tc>
        <w:tc>
          <w:tcPr/>
          <w:p>
            <w:pPr>
              <w:pStyle w:val="Compact"/>
            </w:pPr>
            <w:r>
              <w:t xml:space="preserve">Terminal g</w:t>
            </w:r>
          </w:p>
        </w:tc>
        <w:tc>
          <w:tcPr/>
          <w:p>
            <w:pPr>
              <w:pStyle w:val="Compact"/>
            </w:pPr>
            <w:r>
              <w:t xml:space="preserve">Prob.</w:t>
            </w:r>
          </w:p>
        </w:tc>
        <w:tc>
          <w:tcPr/>
          <w:p>
            <w:pPr>
              <w:pStyle w:val="Compact"/>
            </w:pPr>
            <w:r>
              <w:t xml:space="preserve">Value/share</w:t>
            </w:r>
          </w:p>
        </w:tc>
        <w:tc>
          <w:tcPr/>
          <w:p>
            <w:pPr>
              <w:pStyle w:val="Compact"/>
            </w:pPr>
            <w:r>
              <w:t xml:space="preserve">vs price</w:t>
            </w:r>
          </w:p>
        </w:tc>
      </w:tr>
      <w:tr>
        <w:tc>
          <w:tcPr/>
          <w:p>
            <w:pPr>
              <w:pStyle w:val="Compact"/>
            </w:pPr>
            <w:r>
              <w:t xml:space="preserve">Bear</w:t>
            </w:r>
          </w:p>
        </w:tc>
        <w:tc>
          <w:tcPr/>
          <w:p>
            <w:pPr>
              <w:pStyle w:val="Compact"/>
            </w:pPr>
            <w:r>
              <w:t xml:space="preserve">15.5%</w:t>
            </w:r>
          </w:p>
        </w:tc>
        <w:tc>
          <w:tcPr/>
          <w:p>
            <w:pPr>
              <w:pStyle w:val="Compact"/>
            </w:pPr>
            <w:r>
              <w:t xml:space="preserve">12.0%</w:t>
            </w:r>
          </w:p>
        </w:tc>
        <w:tc>
          <w:tcPr/>
          <w:p>
            <w:pPr>
              <w:pStyle w:val="Compact"/>
            </w:pPr>
            <w:r>
              <w:t xml:space="preserve">12.5%</w:t>
            </w:r>
          </w:p>
        </w:tc>
        <w:tc>
          <w:tcPr/>
          <w:p>
            <w:pPr>
              <w:pStyle w:val="Compact"/>
            </w:pPr>
            <w:r>
              <w:t xml:space="preserve">2.5%</w:t>
            </w:r>
          </w:p>
        </w:tc>
        <w:tc>
          <w:tcPr/>
          <w:p>
            <w:pPr>
              <w:pStyle w:val="Compact"/>
            </w:pPr>
            <w:r>
              <w:t xml:space="preserve">25.0%</w:t>
            </w:r>
          </w:p>
        </w:tc>
        <w:tc>
          <w:tcPr/>
          <w:p>
            <w:pPr>
              <w:pStyle w:val="Compact"/>
            </w:pPr>
            <w:r>
              <w:t xml:space="preserve">$81.90</w:t>
            </w:r>
          </w:p>
        </w:tc>
        <w:tc>
          <w:tcPr/>
          <w:p>
            <w:pPr>
              <w:pStyle w:val="Compact"/>
            </w:pPr>
            <w:r>
              <w:t xml:space="preserve">-75.4%</w:t>
            </w:r>
          </w:p>
        </w:tc>
      </w:tr>
      <w:tr>
        <w:tc>
          <w:tcPr/>
          <w:p>
            <w:pPr>
              <w:pStyle w:val="Compact"/>
            </w:pPr>
            <w:r>
              <w:t xml:space="preserve">Base</w:t>
            </w:r>
          </w:p>
        </w:tc>
        <w:tc>
          <w:tcPr/>
          <w:p>
            <w:pPr>
              <w:pStyle w:val="Compact"/>
            </w:pPr>
            <w:r>
              <w:t xml:space="preserve">30.9%</w:t>
            </w:r>
          </w:p>
        </w:tc>
        <w:tc>
          <w:tcPr/>
          <w:p>
            <w:pPr>
              <w:pStyle w:val="Compact"/>
            </w:pPr>
            <w:r>
              <w:t xml:space="preserve">15.0%</w:t>
            </w:r>
          </w:p>
        </w:tc>
        <w:tc>
          <w:tcPr/>
          <w:p>
            <w:pPr>
              <w:pStyle w:val="Compact"/>
            </w:pPr>
            <w:r>
              <w:t xml:space="preserve">11.5%</w:t>
            </w:r>
          </w:p>
        </w:tc>
        <w:tc>
          <w:tcPr/>
          <w:p>
            <w:pPr>
              <w:pStyle w:val="Compact"/>
            </w:pPr>
            <w:r>
              <w:t xml:space="preserve">3.0%</w:t>
            </w:r>
          </w:p>
        </w:tc>
        <w:tc>
          <w:tcPr/>
          <w:p>
            <w:pPr>
              <w:pStyle w:val="Compact"/>
            </w:pPr>
            <w:r>
              <w:t xml:space="preserve">50.0%</w:t>
            </w:r>
          </w:p>
        </w:tc>
        <w:tc>
          <w:tcPr/>
          <w:p>
            <w:pPr>
              <w:pStyle w:val="Compact"/>
            </w:pPr>
            <w:r>
              <w:t xml:space="preserve">$215.76</w:t>
            </w:r>
          </w:p>
        </w:tc>
        <w:tc>
          <w:tcPr/>
          <w:p>
            <w:pPr>
              <w:pStyle w:val="Compact"/>
            </w:pPr>
            <w:r>
              <w:t xml:space="preserve">-35.2%</w:t>
            </w:r>
          </w:p>
        </w:tc>
      </w:tr>
      <w:tr>
        <w:tc>
          <w:tcPr/>
          <w:p>
            <w:pPr>
              <w:pStyle w:val="Compact"/>
            </w:pPr>
            <w:r>
              <w:t xml:space="preserve">Bull</w:t>
            </w:r>
          </w:p>
        </w:tc>
        <w:tc>
          <w:tcPr/>
          <w:p>
            <w:pPr>
              <w:pStyle w:val="Compact"/>
            </w:pPr>
            <w:r>
              <w:t xml:space="preserve">40.2%</w:t>
            </w:r>
          </w:p>
        </w:tc>
        <w:tc>
          <w:tcPr/>
          <w:p>
            <w:pPr>
              <w:pStyle w:val="Compact"/>
            </w:pPr>
            <w:r>
              <w:t xml:space="preserve">17.2%</w:t>
            </w:r>
          </w:p>
        </w:tc>
        <w:tc>
          <w:tcPr/>
          <w:p>
            <w:pPr>
              <w:pStyle w:val="Compact"/>
            </w:pPr>
            <w:r>
              <w:t xml:space="preserve">11.0%</w:t>
            </w:r>
          </w:p>
        </w:tc>
        <w:tc>
          <w:tcPr/>
          <w:p>
            <w:pPr>
              <w:pStyle w:val="Compact"/>
            </w:pPr>
            <w:r>
              <w:t xml:space="preserve">3.5%</w:t>
            </w:r>
          </w:p>
        </w:tc>
        <w:tc>
          <w:tcPr/>
          <w:p>
            <w:pPr>
              <w:pStyle w:val="Compact"/>
            </w:pPr>
            <w:r>
              <w:t xml:space="preserve">25.0%</w:t>
            </w:r>
          </w:p>
        </w:tc>
        <w:tc>
          <w:tcPr/>
          <w:p>
            <w:pPr>
              <w:pStyle w:val="Compact"/>
            </w:pPr>
            <w:r>
              <w:t xml:space="preserve">$394.67</w:t>
            </w:r>
          </w:p>
        </w:tc>
        <w:tc>
          <w:tcPr/>
          <w:p>
            <w:pPr>
              <w:pStyle w:val="Compact"/>
            </w:pPr>
            <w:r>
              <w:t xml:space="preserve">18.6%</w:t>
            </w:r>
          </w:p>
        </w:tc>
      </w:tr>
    </w:tbl>
    <w:p>
      <w:pPr>
        <w:pStyle w:val="BodyText"/>
      </w:pPr>
      <w:r>
        <w:t xml:space="preserve">Probability-weighted value</w:t>
      </w:r>
      <w:r>
        <w:t xml:space="preserve"> </w:t>
      </w:r>
      <w:r>
        <w:rPr>
          <w:b/>
          <w:bCs/>
        </w:rPr>
        <w:t xml:space="preserve">$227.02</w:t>
      </w:r>
      <w:r>
        <w:t xml:space="preserve"> </w:t>
      </w:r>
      <w:r>
        <w:t xml:space="preserve">(-31.8% vs price).</w:t>
      </w:r>
    </w:p>
    <w:bookmarkEnd w:id="45"/>
    <w:bookmarkStart w:id="46" w:name="Xfc75fe43efc4114f7d3862e568337603baeb829"/>
    <w:p>
      <w:pPr>
        <w:pStyle w:val="Heading2"/>
      </w:pPr>
      <w:r>
        <w:t xml:space="preserve">8. Valuation: DCF / Reverse DCF / ROIC-WACC / comps / sensitivity</w:t>
      </w:r>
    </w:p>
    <w:p>
      <w:pPr>
        <w:pStyle w:val="Compact"/>
        <w:numPr>
          <w:ilvl w:val="0"/>
          <w:numId w:val="1013"/>
        </w:numPr>
      </w:pPr>
      <w:r>
        <w:t xml:space="preserve">Base DCF EV 31.3 bn USD; terminal share 54.4%.</w:t>
      </w:r>
    </w:p>
    <w:p>
      <w:pPr>
        <w:pStyle w:val="Compact"/>
        <w:numPr>
          <w:ilvl w:val="0"/>
          <w:numId w:val="1013"/>
        </w:numPr>
      </w:pPr>
      <w:r>
        <w:rPr>
          <w:b/>
          <w:bCs/>
        </w:rPr>
        <w:t xml:space="preserve">Reverse DCF</w:t>
      </w:r>
      <w:r>
        <w:t xml:space="preserve">: at Base margin/WACC the price implies Y1 revenue growth ≈</w:t>
      </w:r>
      <w:r>
        <w:t xml:space="preserve"> </w:t>
      </w:r>
      <w:r>
        <w:rPr>
          <w:b/>
          <w:bCs/>
        </w:rPr>
        <w:t xml:space="preserve">42.9%</w:t>
      </w:r>
      <w:r>
        <w:t xml:space="preserve"> </w:t>
      </w:r>
      <w:r>
        <w:t xml:space="preserve">vs consensus FY+1 30.9%.</w:t>
      </w:r>
    </w:p>
    <w:p>
      <w:pPr>
        <w:pStyle w:val="Compact"/>
        <w:numPr>
          <w:ilvl w:val="0"/>
          <w:numId w:val="1013"/>
        </w:numPr>
      </w:pPr>
      <w:r>
        <w:t xml:space="preserve">WACC (CAPM) = rf 5.1% + β 1.29 × ERP 5.0% = 11.5%.</w:t>
      </w:r>
    </w:p>
    <w:p>
      <w:pPr>
        <w:pStyle w:val="Compact"/>
        <w:numPr>
          <w:ilvl w:val="0"/>
          <w:numId w:val="1013"/>
        </w:numPr>
      </w:pPr>
      <w:r>
        <w:t xml:space="preserve">SOTP segments: Networking platforms </w:t>
      </w:r>
      <w:r>
        <w:rPr>
          <w:rFonts w:hint="eastAsia"/>
        </w:rPr>
        <w:t xml:space="preserve">网络平台;</w:t>
      </w:r>
      <w:r>
        <w:t xml:space="preserve"> Platform software &amp; services </w:t>
      </w:r>
      <w:r>
        <w:rPr>
          <w:rFonts w:hint="eastAsia"/>
        </w:rPr>
        <w:t xml:space="preserve">软件服务;</w:t>
      </w:r>
      <w:r>
        <w:t xml:space="preserve"> Blue Planet — framework only; segment revenue inputs pending from filings.</w:t>
      </w:r>
    </w:p>
    <w:p>
      <w:pPr>
        <w:pStyle w:val="Compact"/>
        <w:numPr>
          <w:ilvl w:val="0"/>
          <w:numId w:val="1013"/>
        </w:numPr>
      </w:pPr>
      <w:r>
        <w:t xml:space="preserve">Comps (DATA): see table in Chinese section / Excel</w:t>
      </w:r>
      <w:r>
        <w:t xml:space="preserve"> </w:t>
      </w:r>
      <w:r>
        <w:rPr>
          <w:rStyle w:val="VerbatimChar"/>
        </w:rPr>
        <w:t xml:space="preserve">Comps</w:t>
      </w:r>
      <w:r>
        <w:t xml:space="preserve">.</w:t>
      </w:r>
    </w:p>
    <w:p>
      <w:pPr>
        <w:pStyle w:val="Compact"/>
        <w:numPr>
          <w:ilvl w:val="0"/>
          <w:numId w:val="1013"/>
        </w:numPr>
      </w:pPr>
      <w:r>
        <w:t xml:space="preserve">Sensitivity: Excel</w:t>
      </w:r>
      <w:r>
        <w:t xml:space="preserve"> </w:t>
      </w:r>
      <w:r>
        <w:rPr>
          <w:rStyle w:val="VerbatimChar"/>
        </w:rPr>
        <w:t xml:space="preserve">Sensitivity</w:t>
      </w:r>
      <w:r>
        <w:t xml:space="preserve"> </w:t>
      </w:r>
      <w:r>
        <w:t xml:space="preserve">(WACC × terminal g).</w:t>
      </w:r>
    </w:p>
    <w:bookmarkEnd w:id="46"/>
    <w:bookmarkStart w:id="47" w:name="risks-counterarguments-falsifiers"/>
    <w:p>
      <w:pPr>
        <w:pStyle w:val="Heading2"/>
      </w:pPr>
      <w:r>
        <w:t xml:space="preserve">9. Risks, counterarguments, falsifiers</w:t>
      </w:r>
    </w:p>
    <w:p>
      <w:pPr>
        <w:pStyle w:val="FirstParagraph"/>
      </w:pPr>
      <w:r>
        <w:t xml:space="preserve">Carrier spending weak; competition from </w:t>
      </w:r>
      <w:r>
        <w:rPr>
          <w:rFonts w:hint="eastAsia"/>
        </w:rPr>
        <w:t xml:space="preserve">Nokia/Infinera｜运营商开支疲弱；诺基亚竞争</w:t>
      </w:r>
      <w:r>
        <w:t xml:space="preserve"> | Falsifiers: Order book/backlog falls; GM not </w:t>
      </w:r>
      <w:r>
        <w:rPr>
          <w:rFonts w:hint="eastAsia"/>
        </w:rPr>
        <w:t xml:space="preserve">improving｜订单/积压下降；毛利不改善</w:t>
      </w:r>
    </w:p>
    <w:bookmarkEnd w:id="47"/>
    <w:bookmarkStart w:id="48" w:name="X5f84632c184460920f9e7b36d3f64b5580c3064"/>
    <w:p>
      <w:pPr>
        <w:pStyle w:val="Heading2"/>
      </w:pPr>
      <w:r>
        <w:t xml:space="preserve">10–12. Source Ledger / Assumption Register / Model Provenance</w:t>
      </w:r>
    </w:p>
    <w:p>
      <w:pPr>
        <w:pStyle w:val="FirstParagraph"/>
      </w:pPr>
      <w:r>
        <w:t xml:space="preserve">See tables above (shared, bilingual). - Model file:</w:t>
      </w:r>
      <w:r>
        <w:t xml:space="preserve"> </w:t>
      </w:r>
      <w:r>
        <w:rPr>
          <w:rStyle w:val="VerbatimChar"/>
        </w:rPr>
        <w:t xml:space="preserve">CIEN_model_v20261017-0755.xlsx</w:t>
      </w:r>
      <w:r>
        <w:t xml:space="preserve"> </w:t>
      </w:r>
      <w:r>
        <w:t xml:space="preserve">(live formulas; sheets Inputs→Scenarios→DCF→ReverseDCF→Sensitivity→Horizons→SOTP→Comps→ROIC_WACC→History→Sources→Assumptions)</w:t>
      </w:r>
      <w:r>
        <w:t xml:space="preserve"> </w:t>
      </w:r>
      <w:r>
        <w:t xml:space="preserve">- 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r>
        <w:t xml:space="preserve"> </w:t>
      </w:r>
      <w:r>
        <w:t xml:space="preserve">- Data snapshot:</w:t>
      </w:r>
      <w:r>
        <w:t xml:space="preserve"> </w:t>
      </w:r>
      <w:r>
        <w:rPr>
          <w:rStyle w:val="VerbatimChar"/>
        </w:rPr>
        <w:t xml:space="preserve">data/snapshots/20261017-0755</w:t>
      </w:r>
      <w:r>
        <w:t xml:space="preserve"> </w:t>
      </w:r>
      <w:r>
        <w:t xml:space="preserve">(immutable) | Fetched 2026-10-17 07:55 SGT | Generated 2026-10-17 07:57 SGT</w:t>
      </w:r>
      <w:r>
        <w:t xml:space="preserve"> </w:t>
      </w:r>
      <w:r>
        <w:t xml:space="preserve">- Version: v20261017-0755. Prior versions are never overwritten (see company history page).</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2026-10-16T23:58:09Z</dcterms:created>
  <dcterms:modified xsi:type="dcterms:W3CDTF">2026-10-16T23:58:09Z</dcterms:modified>
</cp:coreProperties>
</file>

<file path=docProps/custom.xml><?xml version="1.0" encoding="utf-8"?>
<Properties xmlns="http://schemas.openxmlformats.org/officeDocument/2006/custom-properties" xmlns:vt="http://schemas.openxmlformats.org/officeDocument/2006/docPropsVTypes"/>
</file>