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30f8f9bdb6ccc3995640a41b15d00525be4d804"/>
    <w:p>
      <w:pPr>
        <w:pStyle w:val="Heading1"/>
      </w:pPr>
      <w:r>
        <w:t xml:space="preserve">COHR Coherent Corp.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$232.90｜市值</w:t>
      </w:r>
      <w:r>
        <w:t xml:space="preserve"> 45.9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Coherent是垂直整合的光模块+激光器厂，受益于800G/1.6T与CPO；重整资产(剥离非核心)与提升毛利是重估关键。注意：最新FCF为负(数据期间)。</w:t>
      </w:r>
    </w:p>
    <w:p>
      <w:pPr>
        <w:pStyle w:val="Compact"/>
        <w:numPr>
          <w:ilvl w:val="0"/>
          <w:numId w:val="1001"/>
        </w:numPr>
      </w:pPr>
      <w:r>
        <w:rPr>
          <w:rFonts w:hint="eastAsia"/>
          <w:b/>
          <w:bCs/>
        </w:rPr>
        <w:t xml:space="preserve">多头驱动</w:t>
      </w:r>
      <w:r>
        <w:t xml:space="preserve">: 1.6T share gains; InP capacity doubles; GM </w:t>
      </w:r>
      <w:r>
        <w:rPr>
          <w:rFonts w:hint="eastAsia"/>
        </w:rPr>
        <w:t xml:space="preserve">&gt;40%｜1.6T份额提升；InP产能倍增；毛利率&gt;40%</w:t>
      </w:r>
    </w:p>
    <w:p>
      <w:pPr>
        <w:pStyle w:val="Compact"/>
        <w:numPr>
          <w:ilvl w:val="0"/>
          <w:numId w:val="1001"/>
        </w:numPr>
      </w:pPr>
      <w:r>
        <w:rPr>
          <w:rFonts w:hint="eastAsia"/>
          <w:b/>
          <w:bCs/>
        </w:rPr>
        <w:t xml:space="preserve">空头驱动</w:t>
      </w:r>
      <w:r>
        <w:t xml:space="preserve">: Chinese module price competition; industrial weakness; </w:t>
      </w:r>
      <w:r>
        <w:rPr>
          <w:rFonts w:hint="eastAsia"/>
        </w:rPr>
        <w:t xml:space="preserve">debt｜中国模块价格战；工业疲弱；负债</w:t>
      </w:r>
    </w:p>
    <w:p>
      <w:pPr>
        <w:pStyle w:val="Compact"/>
        <w:numPr>
          <w:ilvl w:val="0"/>
          <w:numId w:val="1001"/>
        </w:numPr>
      </w:pPr>
      <w:r>
        <w:rPr>
          <w:rFonts w:hint="eastAsia"/>
          <w:b/>
          <w:bCs/>
        </w:rPr>
        <w:t xml:space="preserve">证伪条件</w:t>
      </w:r>
      <w:r>
        <w:rPr>
          <w:b/>
          <w:bCs/>
        </w:rPr>
        <w:t xml:space="preserve"> Falsifiers</w:t>
      </w:r>
      <w:r>
        <w:t xml:space="preserve">: Datacom growth below peers; GM </w:t>
      </w:r>
      <w:r>
        <w:rPr>
          <w:rFonts w:hint="eastAsia"/>
        </w:rPr>
        <w:t xml:space="preserve">stalls｜数通增速落后同业；毛利停滞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transceivers / lasers / materials </w:t>
      </w:r>
      <w:r>
        <w:rPr>
          <w:rFonts w:hint="eastAsia"/>
        </w:rPr>
        <w:t xml:space="preserve">光模块/激光/材料</w:t>
      </w:r>
    </w:p>
    <w:p>
      <w:pPr>
        <w:pStyle w:val="Compact"/>
        <w:numPr>
          <w:ilvl w:val="0"/>
          <w:numId w:val="1002"/>
        </w:numPr>
      </w:pPr>
      <w:r>
        <w:rPr>
          <w:rFonts w:hint="eastAsia"/>
        </w:rPr>
        <w:t xml:space="preserve">业务分部</w:t>
      </w:r>
      <w:r>
        <w:t xml:space="preserve"> Segments: Datacom transceivers </w:t>
      </w:r>
      <w:r>
        <w:rPr>
          <w:rFonts w:hint="eastAsia"/>
        </w:rPr>
        <w:t xml:space="preserve">数通光模块；Telecom</w:t>
      </w:r>
      <w:r>
        <w:t xml:space="preserve"> </w:t>
      </w:r>
      <w:r>
        <w:rPr>
          <w:rFonts w:hint="eastAsia"/>
        </w:rPr>
        <w:t xml:space="preserve">电信；Industrial</w:t>
      </w:r>
      <w:r>
        <w:t xml:space="preserve"> lasers &amp; materials (SiC) </w:t>
      </w:r>
      <w:r>
        <w:rPr>
          <w:rFonts w:hint="eastAsia"/>
        </w:rPr>
        <w:t xml:space="preserve">工业激光与材料</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Coherent Corp. develops, manufactures, and markets lasers, transceivers, other optical and optoelectronic devices, modules, and systems worldwide. Its products include critical components consisting of detectors, passive optics, thermal solutions, and PICS; silicon photonics and other advanced optical technologies; and coherent transmission components, transport products, optical amplifiers, passive optical components, optical line systems, and multi-rail platform. The company’s Datacenter and Communications segment offers transceivers, co-packaged optics, and optical circuit switches, as well as other systems, such as subsystems, modules, and semiconductor devices for datacenter and communications applications; and VCSELS, EELS, pump lasers, and other components, optics, and ICs for datacenter and communication applications. Its Industrial segment offers excimer lasers, solid-state lase</w:t>
      </w:r>
    </w:p>
    <w:p>
      <w:pPr>
        <w:pStyle w:val="Compact"/>
        <w:numPr>
          <w:ilvl w:val="0"/>
          <w:numId w:val="1002"/>
        </w:numPr>
      </w:pPr>
      <w:r>
        <w:rPr>
          <w:rFonts w:hint="eastAsia"/>
        </w:rPr>
        <w:t xml:space="preserve">主要客户:</w:t>
      </w:r>
      <w:r>
        <w:t xml:space="preserve"> NVDA, hyperscalers, telecom OEMs, industrial </w:t>
      </w:r>
      <w:r>
        <w:rPr>
          <w:rFonts w:hint="eastAsia"/>
        </w:rPr>
        <w:t xml:space="preserve">users｜NVDA、云厂、电信设备商、工业客户</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InP/GaAs epi (in-house), DSPs </w:t>
      </w:r>
      <w:r>
        <w:rPr>
          <w:rFonts w:hint="eastAsia"/>
        </w:rPr>
        <w:t xml:space="preserve">(MRVL/AVGO)｜自有磷化铟/砷化镓外延、DSP(MRVL/AVGO)</w:t>
      </w:r>
    </w:p>
    <w:p>
      <w:pPr>
        <w:pStyle w:val="Compact"/>
        <w:numPr>
          <w:ilvl w:val="0"/>
          <w:numId w:val="1003"/>
        </w:numPr>
      </w:pPr>
      <w:r>
        <w:rPr>
          <w:rFonts w:hint="eastAsia"/>
        </w:rPr>
        <w:t xml:space="preserve">竞争者</w:t>
      </w:r>
      <w:r>
        <w:t xml:space="preserve"> </w:t>
      </w:r>
      <w:r>
        <w:rPr>
          <w:rFonts w:hint="eastAsia"/>
        </w:rPr>
        <w:t xml:space="preserve">(含业外):</w:t>
      </w:r>
      <w:r>
        <w:t xml:space="preserve"> Innolight, Eoptolink, Lumentum, Fabrinet-built </w:t>
      </w:r>
      <w:r>
        <w:rPr>
          <w:rFonts w:hint="eastAsia"/>
        </w:rPr>
        <w:t xml:space="preserve">modules｜中际旭创、新易盛、Lumentum</w:t>
      </w:r>
    </w:p>
    <w:p>
      <w:pPr>
        <w:pStyle w:val="Compact"/>
        <w:numPr>
          <w:ilvl w:val="0"/>
          <w:numId w:val="1003"/>
        </w:numPr>
      </w:pPr>
      <w:r>
        <w:rPr>
          <w:rFonts w:hint="eastAsia"/>
        </w:rPr>
        <w:t xml:space="preserve">瓶颈/监管:</w:t>
      </w:r>
      <w:r>
        <w:t xml:space="preserve"> 6-inch InP capacity, DSP supply, 1.6T </w:t>
      </w:r>
      <w:r>
        <w:rPr>
          <w:rFonts w:hint="eastAsia"/>
        </w:rPr>
        <w:t xml:space="preserve">ramp｜6寸InP产能、DSP供应、1.6T爬坡</w:t>
      </w:r>
    </w:p>
    <w:p>
      <w:pPr>
        <w:pStyle w:val="Compact"/>
        <w:numPr>
          <w:ilvl w:val="0"/>
          <w:numId w:val="1003"/>
        </w:numPr>
      </w:pPr>
      <w:r>
        <w:rPr>
          <w:rFonts w:hint="eastAsia"/>
        </w:rPr>
        <w:t xml:space="preserve">关键KPI:</w:t>
      </w:r>
      <w:r>
        <w:t xml:space="preserve"> Datacom revenue, GM%, InP capacity, net </w:t>
      </w:r>
      <w:r>
        <w:rPr>
          <w:rFonts w:hint="eastAsia"/>
        </w:rPr>
        <w:t xml:space="preserve">debt｜数通收入、毛利率、InP产能、净负债</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2.0 bn USD</w:t>
            </w:r>
          </w:p>
        </w:tc>
        <w:tc>
          <w:tcPr/>
          <w:p>
            <w:pPr>
              <w:pStyle w:val="Compact"/>
            </w:pPr>
            <w:r>
              <w:t xml:space="preserve">0.8 bn USD</w:t>
            </w:r>
          </w:p>
        </w:tc>
        <w:tc>
          <w:tcPr/>
          <w:p>
            <w:pPr>
              <w:pStyle w:val="Compact"/>
            </w:pPr>
            <w:r>
              <w:t xml:space="preserve">0.3 bn USD</w:t>
            </w:r>
          </w:p>
        </w:tc>
        <w:tc>
          <w:tcPr/>
          <w:p>
            <w:pPr>
              <w:pStyle w:val="Compact"/>
            </w:pPr>
            <w:r>
              <w:t xml:space="preserve">0.2 bn USD</w:t>
            </w:r>
          </w:p>
        </w:tc>
        <w:tc>
          <w:tcPr/>
          <w:p>
            <w:pPr>
              <w:pStyle w:val="Compact"/>
            </w:pPr>
            <w:r>
              <w:t xml:space="preserve">-0.5 bn USD</w:t>
            </w:r>
          </w:p>
        </w:tc>
        <w:tc>
          <w:tcPr/>
          <w:p>
            <w:pPr>
              <w:pStyle w:val="Compact"/>
            </w:pPr>
            <w:r>
              <w:t xml:space="preserve">14.9%</w:t>
            </w:r>
          </w:p>
        </w:tc>
      </w:tr>
      <w:tr>
        <w:tc>
          <w:tcPr/>
          <w:p>
            <w:pPr>
              <w:pStyle w:val="Compact"/>
            </w:pPr>
            <w:r>
              <w:t xml:space="preserve">2026-03-31</w:t>
            </w:r>
          </w:p>
        </w:tc>
        <w:tc>
          <w:tcPr/>
          <w:p>
            <w:pPr>
              <w:pStyle w:val="Compact"/>
            </w:pPr>
            <w:r>
              <w:t xml:space="preserve">1.8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12.5%</w:t>
            </w:r>
          </w:p>
        </w:tc>
      </w:tr>
      <w:tr>
        <w:tc>
          <w:tcPr/>
          <w:p>
            <w:pPr>
              <w:pStyle w:val="Compact"/>
            </w:pPr>
            <w:r>
              <w:t xml:space="preserve">2025-12-31</w:t>
            </w:r>
          </w:p>
        </w:tc>
        <w:tc>
          <w:tcPr/>
          <w:p>
            <w:pPr>
              <w:pStyle w:val="Compact"/>
            </w:pPr>
            <w:r>
              <w:t xml:space="preserve">1.7 bn USD</w:t>
            </w:r>
          </w:p>
        </w:tc>
        <w:tc>
          <w:tcPr/>
          <w:p>
            <w:pPr>
              <w:pStyle w:val="Compact"/>
            </w:pPr>
            <w:r>
              <w:t xml:space="preserve">0.6 bn USD</w:t>
            </w:r>
          </w:p>
        </w:tc>
        <w:tc>
          <w:tcPr/>
          <w:p>
            <w:pPr>
              <w:pStyle w:val="Compact"/>
            </w:pPr>
            <w:r>
              <w:t xml:space="preserve">0.2 bn USD</w:t>
            </w:r>
          </w:p>
        </w:tc>
        <w:tc>
          <w:tcPr/>
          <w:p>
            <w:pPr>
              <w:pStyle w:val="Compact"/>
            </w:pPr>
            <w:r>
              <w:t xml:space="preserve">0.1 bn USD</w:t>
            </w:r>
          </w:p>
        </w:tc>
        <w:tc>
          <w:tcPr/>
          <w:p>
            <w:pPr>
              <w:pStyle w:val="Compact"/>
            </w:pPr>
            <w:r>
              <w:t xml:space="preserve">-95.7 mn USD</w:t>
            </w:r>
          </w:p>
        </w:tc>
        <w:tc>
          <w:tcPr/>
          <w:p>
            <w:pPr>
              <w:pStyle w:val="Compact"/>
            </w:pPr>
            <w:r>
              <w:t xml:space="preserve">11.8%</w:t>
            </w:r>
          </w:p>
        </w:tc>
      </w:tr>
      <w:tr>
        <w:tc>
          <w:tcPr/>
          <w:p>
            <w:pPr>
              <w:pStyle w:val="Compact"/>
            </w:pPr>
            <w:r>
              <w:t xml:space="preserve">2025-09-30</w:t>
            </w:r>
          </w:p>
        </w:tc>
        <w:tc>
          <w:tcPr/>
          <w:p>
            <w:pPr>
              <w:pStyle w:val="Compact"/>
            </w:pPr>
            <w:r>
              <w:t xml:space="preserve">1.6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-58.0 mn USD</w:t>
            </w:r>
          </w:p>
        </w:tc>
        <w:tc>
          <w:tcPr/>
          <w:p>
            <w:pPr>
              <w:pStyle w:val="Compact"/>
            </w:pPr>
            <w:r>
              <w:t xml:space="preserve">10.9%</w:t>
            </w:r>
          </w:p>
        </w:tc>
      </w:tr>
      <w:tr>
        <w:tc>
          <w:tcPr/>
          <w:p>
            <w:pPr>
              <w:pStyle w:val="Compact"/>
            </w:pPr>
            <w:r>
              <w:t xml:space="preserve">2025-06-30</w:t>
            </w:r>
          </w:p>
        </w:tc>
        <w:tc>
          <w:tcPr/>
          <w:p>
            <w:pPr>
              <w:pStyle w:val="Compact"/>
            </w:pPr>
            <w:r>
              <w:t xml:space="preserve">1.5 bn USD</w:t>
            </w:r>
          </w:p>
        </w:tc>
        <w:tc>
          <w:tcPr/>
          <w:p>
            <w:pPr>
              <w:pStyle w:val="Compact"/>
            </w:pPr>
            <w:r>
              <w:t xml:space="preserve">0.5 bn USD</w:t>
            </w:r>
          </w:p>
        </w:tc>
        <w:tc>
          <w:tcPr/>
          <w:p>
            <w:pPr>
              <w:pStyle w:val="Compact"/>
            </w:pPr>
            <w:r>
              <w:t xml:space="preserve">0.1 bn USD</w:t>
            </w:r>
          </w:p>
        </w:tc>
        <w:tc>
          <w:tcPr/>
          <w:p>
            <w:pPr>
              <w:pStyle w:val="Compact"/>
            </w:pPr>
            <w:r>
              <w:t xml:space="preserve">-95.6 mn USD</w:t>
            </w:r>
          </w:p>
        </w:tc>
        <w:tc>
          <w:tcPr/>
          <w:p>
            <w:pPr>
              <w:pStyle w:val="Compact"/>
            </w:pPr>
            <w:r>
              <w:t xml:space="preserve">-1.1 mn USD</w:t>
            </w:r>
          </w:p>
        </w:tc>
        <w:tc>
          <w:tcPr/>
          <w:p>
            <w:pPr>
              <w:pStyle w:val="Compact"/>
            </w:pPr>
            <w:r>
              <w:t xml:space="preserve">9.5%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2.0 bn </w:t>
      </w:r>
      <w:r>
        <w:rPr>
          <w:rFonts w:hint="eastAsia"/>
        </w:rPr>
        <w:t xml:space="preserve">USD；总负债</w:t>
      </w:r>
      <w:r>
        <w:t xml:space="preserve"> 3.6 bn </w:t>
      </w:r>
      <w:r>
        <w:rPr>
          <w:rFonts w:hint="eastAsia"/>
        </w:rPr>
        <w:t xml:space="preserve">USD；净现金</w:t>
      </w:r>
      <w:r>
        <w:t xml:space="preserve"> -1.6 bn USD。TTM FCF -1.0 bn </w:t>
      </w:r>
      <w:r>
        <w:rPr>
          <w:rFonts w:hint="eastAsia"/>
        </w:rPr>
        <w:t xml:space="preserve">USD（FCF率</w:t>
      </w:r>
      <w:r>
        <w:t xml:space="preserve"> </w:t>
      </w:r>
      <w:r>
        <w:rPr>
          <w:rFonts w:hint="eastAsia"/>
        </w:rPr>
        <w:t xml:space="preserve">-14.5%）。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1.16</w:t>
            </w:r>
          </w:p>
        </w:tc>
        <w:tc>
          <w:tcPr/>
          <w:p>
            <w:pPr>
              <w:pStyle w:val="Compact"/>
            </w:pPr>
            <w:r>
              <w:t xml:space="preserve">1.04249</w:t>
            </w:r>
          </w:p>
        </w:tc>
        <w:tc>
          <w:tcPr/>
          <w:p>
            <w:pPr>
              <w:pStyle w:val="Compact"/>
            </w:pPr>
            <w:r>
              <w:t xml:space="preserve">0.11270001</w:t>
            </w:r>
          </w:p>
        </w:tc>
      </w:tr>
      <w:tr>
        <w:tc>
          <w:tcPr/>
          <w:p>
            <w:pPr>
              <w:pStyle w:val="Compact"/>
            </w:pPr>
            <w:r>
              <w:t xml:space="preserve">2025-12-31</w:t>
            </w:r>
          </w:p>
        </w:tc>
        <w:tc>
          <w:tcPr/>
          <w:p>
            <w:pPr>
              <w:pStyle w:val="Compact"/>
            </w:pPr>
            <w:r>
              <w:t xml:space="preserve">1.29</w:t>
            </w:r>
          </w:p>
        </w:tc>
        <w:tc>
          <w:tcPr/>
          <w:p>
            <w:pPr>
              <w:pStyle w:val="Compact"/>
            </w:pPr>
            <w:r>
              <w:t xml:space="preserve">1.20766</w:t>
            </w:r>
          </w:p>
        </w:tc>
        <w:tc>
          <w:tcPr/>
          <w:p>
            <w:pPr>
              <w:pStyle w:val="Compact"/>
            </w:pPr>
            <w:r>
              <w:t xml:space="preserve">0.0682</w:t>
            </w:r>
          </w:p>
        </w:tc>
      </w:tr>
      <w:tr>
        <w:tc>
          <w:tcPr/>
          <w:p>
            <w:pPr>
              <w:pStyle w:val="Compact"/>
            </w:pPr>
            <w:r>
              <w:t xml:space="preserve">2026-03-31</w:t>
            </w:r>
          </w:p>
        </w:tc>
        <w:tc>
          <w:tcPr/>
          <w:p>
            <w:pPr>
              <w:pStyle w:val="Compact"/>
            </w:pPr>
            <w:r>
              <w:t xml:space="preserve">1.41</w:t>
            </w:r>
          </w:p>
        </w:tc>
        <w:tc>
          <w:tcPr/>
          <w:p>
            <w:pPr>
              <w:pStyle w:val="Compact"/>
            </w:pPr>
            <w:r>
              <w:t xml:space="preserve">1.39433</w:t>
            </w:r>
          </w:p>
        </w:tc>
        <w:tc>
          <w:tcPr/>
          <w:p>
            <w:pPr>
              <w:pStyle w:val="Compact"/>
            </w:pPr>
            <w:r>
              <w:t xml:space="preserve">0.0112</w:t>
            </w:r>
          </w:p>
        </w:tc>
      </w:tr>
      <w:tr>
        <w:tc>
          <w:tcPr/>
          <w:p>
            <w:pPr>
              <w:pStyle w:val="Compact"/>
            </w:pPr>
            <w:r>
              <w:t xml:space="preserve">2026-06-30</w:t>
            </w:r>
          </w:p>
        </w:tc>
        <w:tc>
          <w:tcPr/>
          <w:p>
            <w:pPr>
              <w:pStyle w:val="Compact"/>
            </w:pPr>
            <w:r>
              <w:t xml:space="preserve">1.74</w:t>
            </w:r>
          </w:p>
        </w:tc>
        <w:tc>
          <w:tcPr/>
          <w:p>
            <w:pPr>
              <w:pStyle w:val="Compact"/>
            </w:pPr>
            <w:r>
              <w:t xml:space="preserve">1.61709</w:t>
            </w:r>
          </w:p>
        </w:tc>
        <w:tc>
          <w:tcPr/>
          <w:p>
            <w:pPr>
              <w:pStyle w:val="Compact"/>
            </w:pPr>
            <w:r>
              <w:t xml:space="preserve">0.076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1.96331（20位分析师）；收入一致预期</w:t>
      </w:r>
      <w:r>
        <w:t xml:space="preserve"> 2.3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$-50.74</w:t>
            </w:r>
          </w:p>
        </w:tc>
        <w:tc>
          <w:tcPr/>
          <w:p>
            <w:pPr>
              <w:pStyle w:val="Compact"/>
            </w:pPr>
            <w:r>
              <w:t xml:space="preserve">-121.8%</w:t>
            </w:r>
          </w:p>
        </w:tc>
      </w:tr>
      <w:tr>
        <w:tc>
          <w:tcPr/>
          <w:p>
            <w:pPr>
              <w:pStyle w:val="Compact"/>
            </w:pPr>
            <w:r>
              <w:t xml:space="preserve">2Q</w:t>
            </w:r>
          </w:p>
        </w:tc>
        <w:tc>
          <w:tcPr/>
          <w:p>
            <w:pPr>
              <w:pStyle w:val="Compact"/>
            </w:pPr>
            <w:r>
              <w:t xml:space="preserve">Base</w:t>
            </w:r>
          </w:p>
        </w:tc>
        <w:tc>
          <w:tcPr/>
          <w:p>
            <w:pPr>
              <w:pStyle w:val="Compact"/>
            </w:pPr>
            <w:r>
              <w:t xml:space="preserve">$-85.85</w:t>
            </w:r>
          </w:p>
        </w:tc>
        <w:tc>
          <w:tcPr/>
          <w:p>
            <w:pPr>
              <w:pStyle w:val="Compact"/>
            </w:pPr>
            <w:r>
              <w:t xml:space="preserve">-136.9%</w:t>
            </w:r>
          </w:p>
        </w:tc>
      </w:tr>
      <w:tr>
        <w:tc>
          <w:tcPr/>
          <w:p>
            <w:pPr>
              <w:pStyle w:val="Compact"/>
            </w:pPr>
            <w:r>
              <w:t xml:space="preserve">2Q</w:t>
            </w:r>
          </w:p>
        </w:tc>
        <w:tc>
          <w:tcPr/>
          <w:p>
            <w:pPr>
              <w:pStyle w:val="Compact"/>
            </w:pPr>
            <w:r>
              <w:t xml:space="preserve">Bull</w:t>
            </w:r>
          </w:p>
        </w:tc>
        <w:tc>
          <w:tcPr/>
          <w:p>
            <w:pPr>
              <w:pStyle w:val="Compact"/>
            </w:pPr>
            <w:r>
              <w:t xml:space="preserve">$-116.75</w:t>
            </w:r>
          </w:p>
        </w:tc>
        <w:tc>
          <w:tcPr/>
          <w:p>
            <w:pPr>
              <w:pStyle w:val="Compact"/>
            </w:pPr>
            <w:r>
              <w:t xml:space="preserve">-150.1%</w:t>
            </w:r>
          </w:p>
        </w:tc>
      </w:tr>
      <w:tr>
        <w:tc>
          <w:tcPr/>
          <w:p>
            <w:pPr>
              <w:pStyle w:val="Compact"/>
            </w:pPr>
            <w:r>
              <w:t xml:space="preserve">4Q</w:t>
            </w:r>
          </w:p>
        </w:tc>
        <w:tc>
          <w:tcPr/>
          <w:p>
            <w:pPr>
              <w:pStyle w:val="Compact"/>
            </w:pPr>
            <w:r>
              <w:t xml:space="preserve">Bear</w:t>
            </w:r>
          </w:p>
        </w:tc>
        <w:tc>
          <w:tcPr/>
          <w:p>
            <w:pPr>
              <w:pStyle w:val="Compact"/>
            </w:pPr>
            <w:r>
              <w:t xml:space="preserve">$-33.31</w:t>
            </w:r>
          </w:p>
        </w:tc>
        <w:tc>
          <w:tcPr/>
          <w:p>
            <w:pPr>
              <w:pStyle w:val="Compact"/>
            </w:pPr>
            <w:r>
              <w:t xml:space="preserve">-114.3%</w:t>
            </w:r>
          </w:p>
        </w:tc>
      </w:tr>
      <w:tr>
        <w:tc>
          <w:tcPr/>
          <w:p>
            <w:pPr>
              <w:pStyle w:val="Compact"/>
            </w:pPr>
            <w:r>
              <w:t xml:space="preserve">4Q</w:t>
            </w:r>
          </w:p>
        </w:tc>
        <w:tc>
          <w:tcPr/>
          <w:p>
            <w:pPr>
              <w:pStyle w:val="Compact"/>
            </w:pPr>
            <w:r>
              <w:t xml:space="preserve">Base</w:t>
            </w:r>
          </w:p>
        </w:tc>
        <w:tc>
          <w:tcPr/>
          <w:p>
            <w:pPr>
              <w:pStyle w:val="Compact"/>
            </w:pPr>
            <w:r>
              <w:t xml:space="preserve">$-48.44</w:t>
            </w:r>
          </w:p>
        </w:tc>
        <w:tc>
          <w:tcPr/>
          <w:p>
            <w:pPr>
              <w:pStyle w:val="Compact"/>
            </w:pPr>
            <w:r>
              <w:t xml:space="preserve">-120.8%</w:t>
            </w:r>
          </w:p>
        </w:tc>
      </w:tr>
      <w:tr>
        <w:tc>
          <w:tcPr/>
          <w:p>
            <w:pPr>
              <w:pStyle w:val="Compact"/>
            </w:pPr>
            <w:r>
              <w:t xml:space="preserve">4Q</w:t>
            </w:r>
          </w:p>
        </w:tc>
        <w:tc>
          <w:tcPr/>
          <w:p>
            <w:pPr>
              <w:pStyle w:val="Compact"/>
            </w:pPr>
            <w:r>
              <w:t xml:space="preserve">Bull</w:t>
            </w:r>
          </w:p>
        </w:tc>
        <w:tc>
          <w:tcPr/>
          <w:p>
            <w:pPr>
              <w:pStyle w:val="Compact"/>
            </w:pPr>
            <w:r>
              <w:t xml:space="preserve">$-52.58</w:t>
            </w:r>
          </w:p>
        </w:tc>
        <w:tc>
          <w:tcPr/>
          <w:p>
            <w:pPr>
              <w:pStyle w:val="Compact"/>
            </w:pPr>
            <w:r>
              <w:t xml:space="preserve">-122.6%</w:t>
            </w:r>
          </w:p>
        </w:tc>
      </w:tr>
      <w:tr>
        <w:tc>
          <w:tcPr/>
          <w:p>
            <w:pPr>
              <w:pStyle w:val="Compact"/>
            </w:pPr>
            <w:r>
              <w:t xml:space="preserve">6Q</w:t>
            </w:r>
          </w:p>
        </w:tc>
        <w:tc>
          <w:tcPr/>
          <w:p>
            <w:pPr>
              <w:pStyle w:val="Compact"/>
            </w:pPr>
            <w:r>
              <w:t xml:space="preserve">Bear</w:t>
            </w:r>
          </w:p>
        </w:tc>
        <w:tc>
          <w:tcPr/>
          <w:p>
            <w:pPr>
              <w:pStyle w:val="Compact"/>
            </w:pPr>
            <w:r>
              <w:t xml:space="preserve">$-15.11</w:t>
            </w:r>
          </w:p>
        </w:tc>
        <w:tc>
          <w:tcPr/>
          <w:p>
            <w:pPr>
              <w:pStyle w:val="Compact"/>
            </w:pPr>
            <w:r>
              <w:t xml:space="preserve">-106.5%</w:t>
            </w:r>
          </w:p>
        </w:tc>
      </w:tr>
      <w:tr>
        <w:tc>
          <w:tcPr/>
          <w:p>
            <w:pPr>
              <w:pStyle w:val="Compact"/>
            </w:pPr>
            <w:r>
              <w:t xml:space="preserve">6Q</w:t>
            </w:r>
          </w:p>
        </w:tc>
        <w:tc>
          <w:tcPr/>
          <w:p>
            <w:pPr>
              <w:pStyle w:val="Compact"/>
            </w:pPr>
            <w:r>
              <w:t xml:space="preserve">Base</w:t>
            </w:r>
          </w:p>
        </w:tc>
        <w:tc>
          <w:tcPr/>
          <w:p>
            <w:pPr>
              <w:pStyle w:val="Compact"/>
            </w:pPr>
            <w:r>
              <w:t xml:space="preserve">$-2.14</w:t>
            </w:r>
          </w:p>
        </w:tc>
        <w:tc>
          <w:tcPr/>
          <w:p>
            <w:pPr>
              <w:pStyle w:val="Compact"/>
            </w:pPr>
            <w:r>
              <w:t xml:space="preserve">-100.9%</w:t>
            </w:r>
          </w:p>
        </w:tc>
      </w:tr>
      <w:tr>
        <w:tc>
          <w:tcPr/>
          <w:p>
            <w:pPr>
              <w:pStyle w:val="Compact"/>
            </w:pPr>
            <w:r>
              <w:t xml:space="preserve">6Q</w:t>
            </w:r>
          </w:p>
        </w:tc>
        <w:tc>
          <w:tcPr/>
          <w:p>
            <w:pPr>
              <w:pStyle w:val="Compact"/>
            </w:pPr>
            <w:r>
              <w:t xml:space="preserve">Bull</w:t>
            </w:r>
          </w:p>
        </w:tc>
        <w:tc>
          <w:tcPr/>
          <w:p>
            <w:pPr>
              <w:pStyle w:val="Compact"/>
            </w:pPr>
            <w:r>
              <w:t xml:space="preserve">$34.20</w:t>
            </w:r>
          </w:p>
        </w:tc>
        <w:tc>
          <w:tcPr/>
          <w:p>
            <w:pPr>
              <w:pStyle w:val="Compact"/>
            </w:pPr>
            <w:r>
              <w:t xml:space="preserve">-85.3%</w:t>
            </w:r>
          </w:p>
        </w:tc>
      </w:tr>
      <w:tr>
        <w:tc>
          <w:tcPr/>
          <w:p>
            <w:pPr>
              <w:pStyle w:val="Compact"/>
            </w:pPr>
            <w:r>
              <w:t xml:space="preserve">8Q</w:t>
            </w:r>
          </w:p>
        </w:tc>
        <w:tc>
          <w:tcPr/>
          <w:p>
            <w:pPr>
              <w:pStyle w:val="Compact"/>
            </w:pPr>
            <w:r>
              <w:t xml:space="preserve">Bear</w:t>
            </w:r>
          </w:p>
        </w:tc>
        <w:tc>
          <w:tcPr/>
          <w:p>
            <w:pPr>
              <w:pStyle w:val="Compact"/>
            </w:pPr>
            <w:r>
              <w:t xml:space="preserve">$3.91</w:t>
            </w:r>
          </w:p>
        </w:tc>
        <w:tc>
          <w:tcPr/>
          <w:p>
            <w:pPr>
              <w:pStyle w:val="Compact"/>
            </w:pPr>
            <w:r>
              <w:t xml:space="preserve">-98.3%</w:t>
            </w:r>
          </w:p>
        </w:tc>
      </w:tr>
      <w:tr>
        <w:tc>
          <w:tcPr/>
          <w:p>
            <w:pPr>
              <w:pStyle w:val="Compact"/>
            </w:pPr>
            <w:r>
              <w:t xml:space="preserve">8Q</w:t>
            </w:r>
          </w:p>
        </w:tc>
        <w:tc>
          <w:tcPr/>
          <w:p>
            <w:pPr>
              <w:pStyle w:val="Compact"/>
            </w:pPr>
            <w:r>
              <w:t xml:space="preserve">Base</w:t>
            </w:r>
          </w:p>
        </w:tc>
        <w:tc>
          <w:tcPr/>
          <w:p>
            <w:pPr>
              <w:pStyle w:val="Compact"/>
            </w:pPr>
            <w:r>
              <w:t xml:space="preserve">$54.57</w:t>
            </w:r>
          </w:p>
        </w:tc>
        <w:tc>
          <w:tcPr/>
          <w:p>
            <w:pPr>
              <w:pStyle w:val="Compact"/>
            </w:pPr>
            <w:r>
              <w:t xml:space="preserve">-76.6%</w:t>
            </w:r>
          </w:p>
        </w:tc>
      </w:tr>
      <w:tr>
        <w:tc>
          <w:tcPr/>
          <w:p>
            <w:pPr>
              <w:pStyle w:val="Compact"/>
            </w:pPr>
            <w:r>
              <w:t xml:space="preserve">8Q</w:t>
            </w:r>
          </w:p>
        </w:tc>
        <w:tc>
          <w:tcPr/>
          <w:p>
            <w:pPr>
              <w:pStyle w:val="Compact"/>
            </w:pPr>
            <w:r>
              <w:t xml:space="preserve">Bull</w:t>
            </w:r>
          </w:p>
        </w:tc>
        <w:tc>
          <w:tcPr/>
          <w:p>
            <w:pPr>
              <w:pStyle w:val="Compact"/>
            </w:pPr>
            <w:r>
              <w:t xml:space="preserve">$149.10</w:t>
            </w:r>
          </w:p>
        </w:tc>
        <w:tc>
          <w:tcPr/>
          <w:p>
            <w:pPr>
              <w:pStyle w:val="Compact"/>
            </w:pPr>
            <w:r>
              <w:t xml:space="preserve">-36.0%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1122.3x</w:t>
            </w:r>
          </w:p>
        </w:tc>
      </w:tr>
      <w:tr>
        <w:tc>
          <w:tcPr/>
          <w:p>
            <w:pPr>
              <w:pStyle w:val="Compact"/>
            </w:pPr>
            <w:r>
              <w:t xml:space="preserve">8Q</w:t>
            </w:r>
          </w:p>
        </w:tc>
        <w:tc>
          <w:tcPr/>
          <w:p>
            <w:pPr>
              <w:pStyle w:val="Compact"/>
            </w:pPr>
            <w:r>
              <w:t xml:space="preserve">77.5x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19.5%</w:t>
            </w:r>
          </w:p>
        </w:tc>
        <w:tc>
          <w:tcPr/>
          <w:p>
            <w:pPr>
              <w:pStyle w:val="Compact"/>
            </w:pPr>
            <w:r>
              <w:t xml:space="preserve">12.0%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$43.16</w:t>
            </w:r>
          </w:p>
        </w:tc>
        <w:tc>
          <w:tcPr/>
          <w:p>
            <w:pPr>
              <w:pStyle w:val="Compact"/>
            </w:pPr>
            <w:r>
              <w:t xml:space="preserve">-81.5%</w:t>
            </w:r>
          </w:p>
        </w:tc>
      </w:tr>
      <w:tr>
        <w:tc>
          <w:tcPr/>
          <w:p>
            <w:pPr>
              <w:pStyle w:val="Compact"/>
            </w:pPr>
            <w:r>
              <w:t xml:space="preserve">Base</w:t>
            </w:r>
          </w:p>
        </w:tc>
        <w:tc>
          <w:tcPr/>
          <w:p>
            <w:pPr>
              <w:pStyle w:val="Compact"/>
            </w:pPr>
            <w:r>
              <w:t xml:space="preserve">38.9%</w:t>
            </w:r>
          </w:p>
        </w:tc>
        <w:tc>
          <w:tcPr/>
          <w:p>
            <w:pPr>
              <w:pStyle w:val="Compact"/>
            </w:pPr>
            <w:r>
              <w:t xml:space="preserve">15.0%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$166.62</w:t>
            </w:r>
          </w:p>
        </w:tc>
        <w:tc>
          <w:tcPr/>
          <w:p>
            <w:pPr>
              <w:pStyle w:val="Compact"/>
            </w:pPr>
            <w:r>
              <w:t xml:space="preserve">-28.5%</w:t>
            </w:r>
          </w:p>
        </w:tc>
      </w:tr>
      <w:tr>
        <w:tc>
          <w:tcPr/>
          <w:p>
            <w:pPr>
              <w:pStyle w:val="Compact"/>
            </w:pPr>
            <w:r>
              <w:t xml:space="preserve">Bull</w:t>
            </w:r>
          </w:p>
        </w:tc>
        <w:tc>
          <w:tcPr/>
          <w:p>
            <w:pPr>
              <w:pStyle w:val="Compact"/>
            </w:pPr>
            <w:r>
              <w:t xml:space="preserve">50.6%</w:t>
            </w:r>
          </w:p>
        </w:tc>
        <w:tc>
          <w:tcPr/>
          <w:p>
            <w:pPr>
              <w:pStyle w:val="Compact"/>
            </w:pPr>
            <w:r>
              <w:t xml:space="preserve">17.2%</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$344.61</w:t>
            </w:r>
          </w:p>
        </w:tc>
        <w:tc>
          <w:tcPr/>
          <w:p>
            <w:pPr>
              <w:pStyle w:val="Compact"/>
            </w:pPr>
            <w:r>
              <w:t xml:space="preserve">48.0%</w:t>
            </w:r>
          </w:p>
        </w:tc>
      </w:tr>
    </w:tbl>
    <w:p>
      <w:pPr>
        <w:pStyle w:val="BodyText"/>
      </w:pPr>
      <w:r>
        <w:rPr>
          <w:rFonts w:hint="eastAsia"/>
        </w:rPr>
        <w:t xml:space="preserve">概率加权价值</w:t>
      </w:r>
      <w:r>
        <w:t xml:space="preserve"> </w:t>
      </w:r>
      <w:r>
        <w:rPr>
          <w:b/>
          <w:bCs/>
        </w:rPr>
        <w:t xml:space="preserve">$180.25</w:t>
      </w:r>
      <w:r>
        <w:rPr>
          <w:rFonts w:hint="eastAsia"/>
        </w:rPr>
        <w:t xml:space="preserve">（相对现价</w:t>
      </w:r>
      <w:r>
        <w:t xml:space="preserve"> </w:t>
      </w:r>
      <w:r>
        <w:rPr>
          <w:rFonts w:hint="eastAsia"/>
        </w:rPr>
        <w:t xml:space="preserve">-22.6%）。</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34.4 bn </w:t>
      </w:r>
      <w:r>
        <w:rPr>
          <w:rFonts w:hint="eastAsia"/>
        </w:rPr>
        <w:t xml:space="preserve">USD；终值占比</w:t>
      </w:r>
      <w:r>
        <w:t xml:space="preserve"> 59.3%。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47.6%</w:t>
      </w:r>
      <w:r>
        <w:rPr>
          <w:rFonts w:hint="eastAsia"/>
        </w:rPr>
        <w:t xml:space="preserve">；一致预期FY+1增速</w:t>
      </w:r>
      <w:r>
        <w:t xml:space="preserve"> 38.9%。</w:t>
      </w:r>
    </w:p>
    <w:p>
      <w:pPr>
        <w:numPr>
          <w:ilvl w:val="0"/>
          <w:numId w:val="1005"/>
        </w:numPr>
      </w:pPr>
      <w:r>
        <w:t xml:space="preserve">WACC (CAPM) = rf 5.1% + β 1.60 × ERP 5.0% = 13.1%。</w:t>
      </w:r>
    </w:p>
    <w:p>
      <w:pPr>
        <w:numPr>
          <w:ilvl w:val="0"/>
          <w:numId w:val="1005"/>
        </w:numPr>
      </w:pPr>
      <w:r>
        <w:t xml:space="preserve">SOTP segments </w:t>
      </w:r>
      <w:r>
        <w:rPr>
          <w:rFonts w:hint="eastAsia"/>
        </w:rPr>
        <w:t xml:space="preserve">分部:</w:t>
      </w:r>
      <w:r>
        <w:t xml:space="preserve">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COHR | 45.9 bn USD | 6.7x | 16.6x | 33.7% | 37.5% | -2.2% |</w:t>
      </w:r>
      <w:r>
        <w:t xml:space="preserve"> </w:t>
      </w:r>
      <w:r>
        <w:t xml:space="preserve">| LITE | 74.7 bn USD | 24.2x | 22.9x | 109.3% | 44.2% | 0.3% |</w:t>
      </w:r>
      <w:r>
        <w:t xml:space="preserve"> </w:t>
      </w:r>
      <w:r>
        <w:t xml:space="preserve">| CIEN | 47.2 bn USD | 7.9x | 28.0x | 37.0% | 44.1% | 1.3% |</w:t>
      </w:r>
      <w:r>
        <w:t xml:space="preserve"> </w:t>
      </w:r>
      <w:r>
        <w:t xml:space="preserve">| FN | 13.0 bn USD | 2.6x | 16.7x | 44.6% | 12.0% | -0.4% |</w:t>
      </w:r>
      <w:r>
        <w:t xml:space="preserve"> </w:t>
      </w:r>
      <w:r>
        <w:t xml:space="preserve">| AAOI | 6.4 bn USD | 10.4x | 16.4x | 86.4% | 28.9% | -13.8%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Chinese module price competition; industrial weakness; </w:t>
      </w:r>
      <w:r>
        <w:rPr>
          <w:rFonts w:hint="eastAsia"/>
        </w:rPr>
        <w:t xml:space="preserve">debt｜中国模块价格战；工业疲弱；负债</w:t>
      </w:r>
    </w:p>
    <w:p>
      <w:pPr>
        <w:pStyle w:val="Compact"/>
        <w:numPr>
          <w:ilvl w:val="0"/>
          <w:numId w:val="1006"/>
        </w:numPr>
      </w:pPr>
      <w:r>
        <w:rPr>
          <w:rFonts w:hint="eastAsia"/>
        </w:rPr>
        <w:t xml:space="preserve">证伪指标:</w:t>
      </w:r>
      <w:r>
        <w:t xml:space="preserve"> Datacom growth below peers; GM </w:t>
      </w:r>
      <w:r>
        <w:rPr>
          <w:rFonts w:hint="eastAsia"/>
        </w:rPr>
        <w:t xml:space="preserve">stalls｜数通增速落后同业；毛利停滞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232.9</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4.587e+10</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1.99e+09</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3.553e+09</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7.118e+09</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-1.031e+09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2.113</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0.4933</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0.3892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0.3892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-0.1448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COHR_model_v20261017-0755.xlsx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07:57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OH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OH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OH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OH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OH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43ec169b24ed6ba628b0ea443f1cb9995a023a2"/>
    <w:p>
      <w:pPr>
        <w:pStyle w:val="Heading1"/>
      </w:pPr>
      <w:r>
        <w:t xml:space="preserve">COHR Coherent Corp. — Equity Deep Dive (Professional English) v20261017-0755</w:t>
      </w:r>
    </w:p>
    <w:p>
      <w:pPr>
        <w:pStyle w:val="BlockText"/>
      </w:pPr>
      <w:r>
        <w:t xml:space="preserve">Data as of 2026-10-17 07:55 SGT | Price $232.90 | Mkt cap 45.9 bn USD | Reporting currency USD | Not investment advice.</w:t>
      </w:r>
    </w:p>
    <w:bookmarkStart w:id="39" w:name="investment-thesis-hypothesis"/>
    <w:p>
      <w:pPr>
        <w:pStyle w:val="Heading2"/>
      </w:pPr>
      <w:r>
        <w:t xml:space="preserve">1. Investment thesis (HYPOTHESIS)</w:t>
      </w:r>
    </w:p>
    <w:p>
      <w:pPr>
        <w:pStyle w:val="FirstParagraph"/>
      </w:pPr>
      <w:r>
        <w:t xml:space="preserve">Coherent is a vertically integrated transceiver + laser maker benefiting from 800G/1.6T and CPO; portfolio pruning and gross-margin expansion are the rerating keys. Note: latest FCF is negative (data period).</w:t>
      </w:r>
    </w:p>
    <w:p>
      <w:pPr>
        <w:pStyle w:val="Compact"/>
        <w:numPr>
          <w:ilvl w:val="0"/>
          <w:numId w:val="1009"/>
        </w:numPr>
      </w:pPr>
      <w:r>
        <w:rPr>
          <w:b/>
          <w:bCs/>
        </w:rPr>
        <w:t xml:space="preserve">Bull drivers</w:t>
      </w:r>
      <w:r>
        <w:t xml:space="preserve">: 1.6T share gains; InP capacity doubles; GM </w:t>
      </w:r>
      <w:r>
        <w:rPr>
          <w:rFonts w:hint="eastAsia"/>
        </w:rPr>
        <w:t xml:space="preserve">&gt;40%｜1.6T份额提升；InP产能倍增；毛利率&gt;40%</w:t>
      </w:r>
    </w:p>
    <w:p>
      <w:pPr>
        <w:pStyle w:val="Compact"/>
        <w:numPr>
          <w:ilvl w:val="0"/>
          <w:numId w:val="1009"/>
        </w:numPr>
      </w:pPr>
      <w:r>
        <w:rPr>
          <w:b/>
          <w:bCs/>
        </w:rPr>
        <w:t xml:space="preserve">Bear drivers</w:t>
      </w:r>
      <w:r>
        <w:t xml:space="preserve">: Chinese module price competition; industrial weakness; </w:t>
      </w:r>
      <w:r>
        <w:rPr>
          <w:rFonts w:hint="eastAsia"/>
        </w:rPr>
        <w:t xml:space="preserve">debt｜中国模块价格战；工业疲弱；负债</w:t>
      </w:r>
    </w:p>
    <w:p>
      <w:pPr>
        <w:pStyle w:val="Compact"/>
        <w:numPr>
          <w:ilvl w:val="0"/>
          <w:numId w:val="1009"/>
        </w:numPr>
      </w:pPr>
      <w:r>
        <w:rPr>
          <w:b/>
          <w:bCs/>
        </w:rPr>
        <w:t xml:space="preserve">Falsifiers</w:t>
      </w:r>
      <w:r>
        <w:t xml:space="preserve">: Datacom growth below peers; GM </w:t>
      </w:r>
      <w:r>
        <w:rPr>
          <w:rFonts w:hint="eastAsia"/>
        </w:rPr>
        <w:t xml:space="preserve">stalls｜数通增速落后同业；毛利停滞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transceivers / lasers / materials </w:t>
      </w:r>
      <w:r>
        <w:rPr>
          <w:rFonts w:hint="eastAsia"/>
        </w:rPr>
        <w:t xml:space="preserve">光模块/激光/材料</w:t>
      </w:r>
      <w:r>
        <w:t xml:space="preserve"> | Segments: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p>
    <w:p>
      <w:pPr>
        <w:pStyle w:val="Compact"/>
        <w:numPr>
          <w:ilvl w:val="0"/>
          <w:numId w:val="1010"/>
        </w:numPr>
      </w:pPr>
      <w:r>
        <w:t xml:space="preserve">Business description (DATA): Coherent Corp. develops, manufactures, and markets lasers, transceivers, other optical and optoelectronic devices, modules, and systems worldwide. Its products include critical components consisting of detectors, passive optics, thermal solutions, and PICS; silicon photonics and other advanced optical technologies; and coherent transmission components, transport products, optical amplifiers, passive optical components, optical line systems, and multi-rail platform. The company’s Datacenter and Communications segment offers transceivers, co-packaged optics, and optical circuit switches, as well as other systems, such as subsystems, modules, and semiconductor devices for datacenter and communications applications; and VCSELS, EELS, pump lasers, and other components, optics, and ICs for datacenter and communication applications. Its Industrial segment offers excimer lasers, solid-state lase</w:t>
      </w:r>
    </w:p>
    <w:p>
      <w:pPr>
        <w:pStyle w:val="Compact"/>
        <w:numPr>
          <w:ilvl w:val="0"/>
          <w:numId w:val="1010"/>
        </w:numPr>
      </w:pPr>
      <w:r>
        <w:t xml:space="preserve">Customers: NVDA, hyperscalers, telecom OEMs, industrial </w:t>
      </w:r>
      <w:r>
        <w:rPr>
          <w:rFonts w:hint="eastAsia"/>
        </w:rPr>
        <w:t xml:space="preserve">users｜NVDA、云厂、电信设备商、工业客户</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InP/GaAs epi (in-house), DSPs </w:t>
      </w:r>
      <w:r>
        <w:rPr>
          <w:rFonts w:hint="eastAsia"/>
        </w:rPr>
        <w:t xml:space="preserve">(MRVL/AVGO)｜自有磷化铟/砷化镓外延、DSP(MRVL/AVGO)</w:t>
      </w:r>
    </w:p>
    <w:p>
      <w:pPr>
        <w:pStyle w:val="Compact"/>
        <w:numPr>
          <w:ilvl w:val="0"/>
          <w:numId w:val="1011"/>
        </w:numPr>
      </w:pPr>
      <w:r>
        <w:t xml:space="preserve">Competitors: Innolight, Eoptolink, Lumentum, Fabrinet-built </w:t>
      </w:r>
      <w:r>
        <w:rPr>
          <w:rFonts w:hint="eastAsia"/>
        </w:rPr>
        <w:t xml:space="preserve">modules｜中际旭创、新易盛、Lumentum</w:t>
      </w:r>
    </w:p>
    <w:p>
      <w:pPr>
        <w:pStyle w:val="Compact"/>
        <w:numPr>
          <w:ilvl w:val="0"/>
          <w:numId w:val="1011"/>
        </w:numPr>
      </w:pPr>
      <w:r>
        <w:t xml:space="preserve">Bottlenecks/regulation: 6-inch InP capacity, DSP supply, 1.6T </w:t>
      </w:r>
      <w:r>
        <w:rPr>
          <w:rFonts w:hint="eastAsia"/>
        </w:rPr>
        <w:t xml:space="preserve">ramp｜6寸InP产能、DSP供应、1.6T爬坡</w:t>
      </w:r>
    </w:p>
    <w:p>
      <w:pPr>
        <w:pStyle w:val="Compact"/>
        <w:numPr>
          <w:ilvl w:val="0"/>
          <w:numId w:val="1011"/>
        </w:numPr>
      </w:pPr>
      <w:r>
        <w:t xml:space="preserve">KPIs: Datacom revenue, GM%, InP capacity, net </w:t>
      </w:r>
      <w:r>
        <w:rPr>
          <w:rFonts w:hint="eastAsia"/>
        </w:rPr>
        <w:t xml:space="preserve">debt｜数通收入、毛利率、InP产能、净负债</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2.0 bn USD</w:t>
            </w:r>
          </w:p>
        </w:tc>
        <w:tc>
          <w:tcPr/>
          <w:p>
            <w:pPr>
              <w:pStyle w:val="Compact"/>
            </w:pPr>
            <w:r>
              <w:t xml:space="preserve">0.8 bn USD</w:t>
            </w:r>
          </w:p>
        </w:tc>
        <w:tc>
          <w:tcPr/>
          <w:p>
            <w:pPr>
              <w:pStyle w:val="Compact"/>
            </w:pPr>
            <w:r>
              <w:t xml:space="preserve">0.3 bn USD</w:t>
            </w:r>
          </w:p>
        </w:tc>
        <w:tc>
          <w:tcPr/>
          <w:p>
            <w:pPr>
              <w:pStyle w:val="Compact"/>
            </w:pPr>
            <w:r>
              <w:t xml:space="preserve">0.2 bn USD</w:t>
            </w:r>
          </w:p>
        </w:tc>
        <w:tc>
          <w:tcPr/>
          <w:p>
            <w:pPr>
              <w:pStyle w:val="Compact"/>
            </w:pPr>
            <w:r>
              <w:t xml:space="preserve">-0.5 bn USD</w:t>
            </w:r>
          </w:p>
        </w:tc>
        <w:tc>
          <w:tcPr/>
          <w:p>
            <w:pPr>
              <w:pStyle w:val="Compact"/>
            </w:pPr>
            <w:r>
              <w:t xml:space="preserve">14.9%</w:t>
            </w:r>
          </w:p>
        </w:tc>
      </w:tr>
      <w:tr>
        <w:tc>
          <w:tcPr/>
          <w:p>
            <w:pPr>
              <w:pStyle w:val="Compact"/>
            </w:pPr>
            <w:r>
              <w:t xml:space="preserve">2026-03-31</w:t>
            </w:r>
          </w:p>
        </w:tc>
        <w:tc>
          <w:tcPr/>
          <w:p>
            <w:pPr>
              <w:pStyle w:val="Compact"/>
            </w:pPr>
            <w:r>
              <w:t xml:space="preserve">1.8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12.5%</w:t>
            </w:r>
          </w:p>
        </w:tc>
      </w:tr>
      <w:tr>
        <w:tc>
          <w:tcPr/>
          <w:p>
            <w:pPr>
              <w:pStyle w:val="Compact"/>
            </w:pPr>
            <w:r>
              <w:t xml:space="preserve">2025-12-31</w:t>
            </w:r>
          </w:p>
        </w:tc>
        <w:tc>
          <w:tcPr/>
          <w:p>
            <w:pPr>
              <w:pStyle w:val="Compact"/>
            </w:pPr>
            <w:r>
              <w:t xml:space="preserve">1.7 bn USD</w:t>
            </w:r>
          </w:p>
        </w:tc>
        <w:tc>
          <w:tcPr/>
          <w:p>
            <w:pPr>
              <w:pStyle w:val="Compact"/>
            </w:pPr>
            <w:r>
              <w:t xml:space="preserve">0.6 bn USD</w:t>
            </w:r>
          </w:p>
        </w:tc>
        <w:tc>
          <w:tcPr/>
          <w:p>
            <w:pPr>
              <w:pStyle w:val="Compact"/>
            </w:pPr>
            <w:r>
              <w:t xml:space="preserve">0.2 bn USD</w:t>
            </w:r>
          </w:p>
        </w:tc>
        <w:tc>
          <w:tcPr/>
          <w:p>
            <w:pPr>
              <w:pStyle w:val="Compact"/>
            </w:pPr>
            <w:r>
              <w:t xml:space="preserve">0.1 bn USD</w:t>
            </w:r>
          </w:p>
        </w:tc>
        <w:tc>
          <w:tcPr/>
          <w:p>
            <w:pPr>
              <w:pStyle w:val="Compact"/>
            </w:pPr>
            <w:r>
              <w:t xml:space="preserve">-95.7 mn USD</w:t>
            </w:r>
          </w:p>
        </w:tc>
        <w:tc>
          <w:tcPr/>
          <w:p>
            <w:pPr>
              <w:pStyle w:val="Compact"/>
            </w:pPr>
            <w:r>
              <w:t xml:space="preserve">11.8%</w:t>
            </w:r>
          </w:p>
        </w:tc>
      </w:tr>
      <w:tr>
        <w:tc>
          <w:tcPr/>
          <w:p>
            <w:pPr>
              <w:pStyle w:val="Compact"/>
            </w:pPr>
            <w:r>
              <w:t xml:space="preserve">2025-09-30</w:t>
            </w:r>
          </w:p>
        </w:tc>
        <w:tc>
          <w:tcPr/>
          <w:p>
            <w:pPr>
              <w:pStyle w:val="Compact"/>
            </w:pPr>
            <w:r>
              <w:t xml:space="preserve">1.6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-58.0 mn USD</w:t>
            </w:r>
          </w:p>
        </w:tc>
        <w:tc>
          <w:tcPr/>
          <w:p>
            <w:pPr>
              <w:pStyle w:val="Compact"/>
            </w:pPr>
            <w:r>
              <w:t xml:space="preserve">10.9%</w:t>
            </w:r>
          </w:p>
        </w:tc>
      </w:tr>
      <w:tr>
        <w:tc>
          <w:tcPr/>
          <w:p>
            <w:pPr>
              <w:pStyle w:val="Compact"/>
            </w:pPr>
            <w:r>
              <w:t xml:space="preserve">2025-06-30</w:t>
            </w:r>
          </w:p>
        </w:tc>
        <w:tc>
          <w:tcPr/>
          <w:p>
            <w:pPr>
              <w:pStyle w:val="Compact"/>
            </w:pPr>
            <w:r>
              <w:t xml:space="preserve">1.5 bn USD</w:t>
            </w:r>
          </w:p>
        </w:tc>
        <w:tc>
          <w:tcPr/>
          <w:p>
            <w:pPr>
              <w:pStyle w:val="Compact"/>
            </w:pPr>
            <w:r>
              <w:t xml:space="preserve">0.5 bn USD</w:t>
            </w:r>
          </w:p>
        </w:tc>
        <w:tc>
          <w:tcPr/>
          <w:p>
            <w:pPr>
              <w:pStyle w:val="Compact"/>
            </w:pPr>
            <w:r>
              <w:t xml:space="preserve">0.1 bn USD</w:t>
            </w:r>
          </w:p>
        </w:tc>
        <w:tc>
          <w:tcPr/>
          <w:p>
            <w:pPr>
              <w:pStyle w:val="Compact"/>
            </w:pPr>
            <w:r>
              <w:t xml:space="preserve">-95.6 mn USD</w:t>
            </w:r>
          </w:p>
        </w:tc>
        <w:tc>
          <w:tcPr/>
          <w:p>
            <w:pPr>
              <w:pStyle w:val="Compact"/>
            </w:pPr>
            <w:r>
              <w:t xml:space="preserve">-1.1 mn USD</w:t>
            </w:r>
          </w:p>
        </w:tc>
        <w:tc>
          <w:tcPr/>
          <w:p>
            <w:pPr>
              <w:pStyle w:val="Compact"/>
            </w:pPr>
            <w:r>
              <w:t xml:space="preserve">9.5%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2.0 bn USD; debt 3.6 bn USD; TTM FCF -1.0 bn USD (FCF margin -14.5%).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1.16</w:t>
            </w:r>
          </w:p>
        </w:tc>
        <w:tc>
          <w:tcPr/>
          <w:p>
            <w:pPr>
              <w:pStyle w:val="Compact"/>
            </w:pPr>
            <w:r>
              <w:t xml:space="preserve">1.04249</w:t>
            </w:r>
          </w:p>
        </w:tc>
        <w:tc>
          <w:tcPr/>
          <w:p>
            <w:pPr>
              <w:pStyle w:val="Compact"/>
            </w:pPr>
            <w:r>
              <w:t xml:space="preserve">0.11270001</w:t>
            </w:r>
          </w:p>
        </w:tc>
      </w:tr>
      <w:tr>
        <w:tc>
          <w:tcPr/>
          <w:p>
            <w:pPr>
              <w:pStyle w:val="Compact"/>
            </w:pPr>
            <w:r>
              <w:t xml:space="preserve">2025-12-31</w:t>
            </w:r>
          </w:p>
        </w:tc>
        <w:tc>
          <w:tcPr/>
          <w:p>
            <w:pPr>
              <w:pStyle w:val="Compact"/>
            </w:pPr>
            <w:r>
              <w:t xml:space="preserve">1.29</w:t>
            </w:r>
          </w:p>
        </w:tc>
        <w:tc>
          <w:tcPr/>
          <w:p>
            <w:pPr>
              <w:pStyle w:val="Compact"/>
            </w:pPr>
            <w:r>
              <w:t xml:space="preserve">1.20766</w:t>
            </w:r>
          </w:p>
        </w:tc>
        <w:tc>
          <w:tcPr/>
          <w:p>
            <w:pPr>
              <w:pStyle w:val="Compact"/>
            </w:pPr>
            <w:r>
              <w:t xml:space="preserve">0.0682</w:t>
            </w:r>
          </w:p>
        </w:tc>
      </w:tr>
      <w:tr>
        <w:tc>
          <w:tcPr/>
          <w:p>
            <w:pPr>
              <w:pStyle w:val="Compact"/>
            </w:pPr>
            <w:r>
              <w:t xml:space="preserve">2026-03-31</w:t>
            </w:r>
          </w:p>
        </w:tc>
        <w:tc>
          <w:tcPr/>
          <w:p>
            <w:pPr>
              <w:pStyle w:val="Compact"/>
            </w:pPr>
            <w:r>
              <w:t xml:space="preserve">1.41</w:t>
            </w:r>
          </w:p>
        </w:tc>
        <w:tc>
          <w:tcPr/>
          <w:p>
            <w:pPr>
              <w:pStyle w:val="Compact"/>
            </w:pPr>
            <w:r>
              <w:t xml:space="preserve">1.39433</w:t>
            </w:r>
          </w:p>
        </w:tc>
        <w:tc>
          <w:tcPr/>
          <w:p>
            <w:pPr>
              <w:pStyle w:val="Compact"/>
            </w:pPr>
            <w:r>
              <w:t xml:space="preserve">0.0112</w:t>
            </w:r>
          </w:p>
        </w:tc>
      </w:tr>
      <w:tr>
        <w:tc>
          <w:tcPr/>
          <w:p>
            <w:pPr>
              <w:pStyle w:val="Compact"/>
            </w:pPr>
            <w:r>
              <w:t xml:space="preserve">2026-06-30</w:t>
            </w:r>
          </w:p>
        </w:tc>
        <w:tc>
          <w:tcPr/>
          <w:p>
            <w:pPr>
              <w:pStyle w:val="Compact"/>
            </w:pPr>
            <w:r>
              <w:t xml:space="preserve">1.74</w:t>
            </w:r>
          </w:p>
        </w:tc>
        <w:tc>
          <w:tcPr/>
          <w:p>
            <w:pPr>
              <w:pStyle w:val="Compact"/>
            </w:pPr>
            <w:r>
              <w:t xml:space="preserve">1.61709</w:t>
            </w:r>
          </w:p>
        </w:tc>
        <w:tc>
          <w:tcPr/>
          <w:p>
            <w:pPr>
              <w:pStyle w:val="Compact"/>
            </w:pPr>
            <w:r>
              <w:t xml:space="preserve">0.076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1.96331 (20 analysts); revenue consensus 2.3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$-50.74</w:t>
            </w:r>
          </w:p>
        </w:tc>
        <w:tc>
          <w:tcPr/>
          <w:p>
            <w:pPr>
              <w:pStyle w:val="Compact"/>
            </w:pPr>
            <w:r>
              <w:t xml:space="preserve">-121.8%</w:t>
            </w:r>
          </w:p>
        </w:tc>
      </w:tr>
      <w:tr>
        <w:tc>
          <w:tcPr/>
          <w:p>
            <w:pPr>
              <w:pStyle w:val="Compact"/>
            </w:pPr>
            <w:r>
              <w:t xml:space="preserve">2Q</w:t>
            </w:r>
          </w:p>
        </w:tc>
        <w:tc>
          <w:tcPr/>
          <w:p>
            <w:pPr>
              <w:pStyle w:val="Compact"/>
            </w:pPr>
            <w:r>
              <w:t xml:space="preserve">Base</w:t>
            </w:r>
          </w:p>
        </w:tc>
        <w:tc>
          <w:tcPr/>
          <w:p>
            <w:pPr>
              <w:pStyle w:val="Compact"/>
            </w:pPr>
            <w:r>
              <w:t xml:space="preserve">$-85.85</w:t>
            </w:r>
          </w:p>
        </w:tc>
        <w:tc>
          <w:tcPr/>
          <w:p>
            <w:pPr>
              <w:pStyle w:val="Compact"/>
            </w:pPr>
            <w:r>
              <w:t xml:space="preserve">-136.9%</w:t>
            </w:r>
          </w:p>
        </w:tc>
      </w:tr>
      <w:tr>
        <w:tc>
          <w:tcPr/>
          <w:p>
            <w:pPr>
              <w:pStyle w:val="Compact"/>
            </w:pPr>
            <w:r>
              <w:t xml:space="preserve">2Q</w:t>
            </w:r>
          </w:p>
        </w:tc>
        <w:tc>
          <w:tcPr/>
          <w:p>
            <w:pPr>
              <w:pStyle w:val="Compact"/>
            </w:pPr>
            <w:r>
              <w:t xml:space="preserve">Bull</w:t>
            </w:r>
          </w:p>
        </w:tc>
        <w:tc>
          <w:tcPr/>
          <w:p>
            <w:pPr>
              <w:pStyle w:val="Compact"/>
            </w:pPr>
            <w:r>
              <w:t xml:space="preserve">$-116.75</w:t>
            </w:r>
          </w:p>
        </w:tc>
        <w:tc>
          <w:tcPr/>
          <w:p>
            <w:pPr>
              <w:pStyle w:val="Compact"/>
            </w:pPr>
            <w:r>
              <w:t xml:space="preserve">-150.1%</w:t>
            </w:r>
          </w:p>
        </w:tc>
      </w:tr>
      <w:tr>
        <w:tc>
          <w:tcPr/>
          <w:p>
            <w:pPr>
              <w:pStyle w:val="Compact"/>
            </w:pPr>
            <w:r>
              <w:t xml:space="preserve">4Q</w:t>
            </w:r>
          </w:p>
        </w:tc>
        <w:tc>
          <w:tcPr/>
          <w:p>
            <w:pPr>
              <w:pStyle w:val="Compact"/>
            </w:pPr>
            <w:r>
              <w:t xml:space="preserve">Bear</w:t>
            </w:r>
          </w:p>
        </w:tc>
        <w:tc>
          <w:tcPr/>
          <w:p>
            <w:pPr>
              <w:pStyle w:val="Compact"/>
            </w:pPr>
            <w:r>
              <w:t xml:space="preserve">$-33.31</w:t>
            </w:r>
          </w:p>
        </w:tc>
        <w:tc>
          <w:tcPr/>
          <w:p>
            <w:pPr>
              <w:pStyle w:val="Compact"/>
            </w:pPr>
            <w:r>
              <w:t xml:space="preserve">-114.3%</w:t>
            </w:r>
          </w:p>
        </w:tc>
      </w:tr>
      <w:tr>
        <w:tc>
          <w:tcPr/>
          <w:p>
            <w:pPr>
              <w:pStyle w:val="Compact"/>
            </w:pPr>
            <w:r>
              <w:t xml:space="preserve">4Q</w:t>
            </w:r>
          </w:p>
        </w:tc>
        <w:tc>
          <w:tcPr/>
          <w:p>
            <w:pPr>
              <w:pStyle w:val="Compact"/>
            </w:pPr>
            <w:r>
              <w:t xml:space="preserve">Base</w:t>
            </w:r>
          </w:p>
        </w:tc>
        <w:tc>
          <w:tcPr/>
          <w:p>
            <w:pPr>
              <w:pStyle w:val="Compact"/>
            </w:pPr>
            <w:r>
              <w:t xml:space="preserve">$-48.44</w:t>
            </w:r>
          </w:p>
        </w:tc>
        <w:tc>
          <w:tcPr/>
          <w:p>
            <w:pPr>
              <w:pStyle w:val="Compact"/>
            </w:pPr>
            <w:r>
              <w:t xml:space="preserve">-120.8%</w:t>
            </w:r>
          </w:p>
        </w:tc>
      </w:tr>
      <w:tr>
        <w:tc>
          <w:tcPr/>
          <w:p>
            <w:pPr>
              <w:pStyle w:val="Compact"/>
            </w:pPr>
            <w:r>
              <w:t xml:space="preserve">4Q</w:t>
            </w:r>
          </w:p>
        </w:tc>
        <w:tc>
          <w:tcPr/>
          <w:p>
            <w:pPr>
              <w:pStyle w:val="Compact"/>
            </w:pPr>
            <w:r>
              <w:t xml:space="preserve">Bull</w:t>
            </w:r>
          </w:p>
        </w:tc>
        <w:tc>
          <w:tcPr/>
          <w:p>
            <w:pPr>
              <w:pStyle w:val="Compact"/>
            </w:pPr>
            <w:r>
              <w:t xml:space="preserve">$-52.58</w:t>
            </w:r>
          </w:p>
        </w:tc>
        <w:tc>
          <w:tcPr/>
          <w:p>
            <w:pPr>
              <w:pStyle w:val="Compact"/>
            </w:pPr>
            <w:r>
              <w:t xml:space="preserve">-122.6%</w:t>
            </w:r>
          </w:p>
        </w:tc>
      </w:tr>
      <w:tr>
        <w:tc>
          <w:tcPr/>
          <w:p>
            <w:pPr>
              <w:pStyle w:val="Compact"/>
            </w:pPr>
            <w:r>
              <w:t xml:space="preserve">6Q</w:t>
            </w:r>
          </w:p>
        </w:tc>
        <w:tc>
          <w:tcPr/>
          <w:p>
            <w:pPr>
              <w:pStyle w:val="Compact"/>
            </w:pPr>
            <w:r>
              <w:t xml:space="preserve">Bear</w:t>
            </w:r>
          </w:p>
        </w:tc>
        <w:tc>
          <w:tcPr/>
          <w:p>
            <w:pPr>
              <w:pStyle w:val="Compact"/>
            </w:pPr>
            <w:r>
              <w:t xml:space="preserve">$-15.11</w:t>
            </w:r>
          </w:p>
        </w:tc>
        <w:tc>
          <w:tcPr/>
          <w:p>
            <w:pPr>
              <w:pStyle w:val="Compact"/>
            </w:pPr>
            <w:r>
              <w:t xml:space="preserve">-106.5%</w:t>
            </w:r>
          </w:p>
        </w:tc>
      </w:tr>
      <w:tr>
        <w:tc>
          <w:tcPr/>
          <w:p>
            <w:pPr>
              <w:pStyle w:val="Compact"/>
            </w:pPr>
            <w:r>
              <w:t xml:space="preserve">6Q</w:t>
            </w:r>
          </w:p>
        </w:tc>
        <w:tc>
          <w:tcPr/>
          <w:p>
            <w:pPr>
              <w:pStyle w:val="Compact"/>
            </w:pPr>
            <w:r>
              <w:t xml:space="preserve">Base</w:t>
            </w:r>
          </w:p>
        </w:tc>
        <w:tc>
          <w:tcPr/>
          <w:p>
            <w:pPr>
              <w:pStyle w:val="Compact"/>
            </w:pPr>
            <w:r>
              <w:t xml:space="preserve">$-2.14</w:t>
            </w:r>
          </w:p>
        </w:tc>
        <w:tc>
          <w:tcPr/>
          <w:p>
            <w:pPr>
              <w:pStyle w:val="Compact"/>
            </w:pPr>
            <w:r>
              <w:t xml:space="preserve">-100.9%</w:t>
            </w:r>
          </w:p>
        </w:tc>
      </w:tr>
      <w:tr>
        <w:tc>
          <w:tcPr/>
          <w:p>
            <w:pPr>
              <w:pStyle w:val="Compact"/>
            </w:pPr>
            <w:r>
              <w:t xml:space="preserve">6Q</w:t>
            </w:r>
          </w:p>
        </w:tc>
        <w:tc>
          <w:tcPr/>
          <w:p>
            <w:pPr>
              <w:pStyle w:val="Compact"/>
            </w:pPr>
            <w:r>
              <w:t xml:space="preserve">Bull</w:t>
            </w:r>
          </w:p>
        </w:tc>
        <w:tc>
          <w:tcPr/>
          <w:p>
            <w:pPr>
              <w:pStyle w:val="Compact"/>
            </w:pPr>
            <w:r>
              <w:t xml:space="preserve">$34.20</w:t>
            </w:r>
          </w:p>
        </w:tc>
        <w:tc>
          <w:tcPr/>
          <w:p>
            <w:pPr>
              <w:pStyle w:val="Compact"/>
            </w:pPr>
            <w:r>
              <w:t xml:space="preserve">-85.3%</w:t>
            </w:r>
          </w:p>
        </w:tc>
      </w:tr>
      <w:tr>
        <w:tc>
          <w:tcPr/>
          <w:p>
            <w:pPr>
              <w:pStyle w:val="Compact"/>
            </w:pPr>
            <w:r>
              <w:t xml:space="preserve">8Q</w:t>
            </w:r>
          </w:p>
        </w:tc>
        <w:tc>
          <w:tcPr/>
          <w:p>
            <w:pPr>
              <w:pStyle w:val="Compact"/>
            </w:pPr>
            <w:r>
              <w:t xml:space="preserve">Bear</w:t>
            </w:r>
          </w:p>
        </w:tc>
        <w:tc>
          <w:tcPr/>
          <w:p>
            <w:pPr>
              <w:pStyle w:val="Compact"/>
            </w:pPr>
            <w:r>
              <w:t xml:space="preserve">$3.91</w:t>
            </w:r>
          </w:p>
        </w:tc>
        <w:tc>
          <w:tcPr/>
          <w:p>
            <w:pPr>
              <w:pStyle w:val="Compact"/>
            </w:pPr>
            <w:r>
              <w:t xml:space="preserve">-98.3%</w:t>
            </w:r>
          </w:p>
        </w:tc>
      </w:tr>
      <w:tr>
        <w:tc>
          <w:tcPr/>
          <w:p>
            <w:pPr>
              <w:pStyle w:val="Compact"/>
            </w:pPr>
            <w:r>
              <w:t xml:space="preserve">8Q</w:t>
            </w:r>
          </w:p>
        </w:tc>
        <w:tc>
          <w:tcPr/>
          <w:p>
            <w:pPr>
              <w:pStyle w:val="Compact"/>
            </w:pPr>
            <w:r>
              <w:t xml:space="preserve">Base</w:t>
            </w:r>
          </w:p>
        </w:tc>
        <w:tc>
          <w:tcPr/>
          <w:p>
            <w:pPr>
              <w:pStyle w:val="Compact"/>
            </w:pPr>
            <w:r>
              <w:t xml:space="preserve">$54.57</w:t>
            </w:r>
          </w:p>
        </w:tc>
        <w:tc>
          <w:tcPr/>
          <w:p>
            <w:pPr>
              <w:pStyle w:val="Compact"/>
            </w:pPr>
            <w:r>
              <w:t xml:space="preserve">-76.6%</w:t>
            </w:r>
          </w:p>
        </w:tc>
      </w:tr>
      <w:tr>
        <w:tc>
          <w:tcPr/>
          <w:p>
            <w:pPr>
              <w:pStyle w:val="Compact"/>
            </w:pPr>
            <w:r>
              <w:t xml:space="preserve">8Q</w:t>
            </w:r>
          </w:p>
        </w:tc>
        <w:tc>
          <w:tcPr/>
          <w:p>
            <w:pPr>
              <w:pStyle w:val="Compact"/>
            </w:pPr>
            <w:r>
              <w:t xml:space="preserve">Bull</w:t>
            </w:r>
          </w:p>
        </w:tc>
        <w:tc>
          <w:tcPr/>
          <w:p>
            <w:pPr>
              <w:pStyle w:val="Compact"/>
            </w:pPr>
            <w:r>
              <w:t xml:space="preserve">$149.10</w:t>
            </w:r>
          </w:p>
        </w:tc>
        <w:tc>
          <w:tcPr/>
          <w:p>
            <w:pPr>
              <w:pStyle w:val="Compact"/>
            </w:pPr>
            <w:r>
              <w:t xml:space="preserve">-36.0%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1122.3x</w:t>
            </w:r>
          </w:p>
        </w:tc>
      </w:tr>
      <w:tr>
        <w:tc>
          <w:tcPr/>
          <w:p>
            <w:pPr>
              <w:pStyle w:val="Compact"/>
            </w:pPr>
            <w:r>
              <w:t xml:space="preserve">8Q</w:t>
            </w:r>
          </w:p>
        </w:tc>
        <w:tc>
          <w:tcPr/>
          <w:p>
            <w:pPr>
              <w:pStyle w:val="Compact"/>
            </w:pPr>
            <w:r>
              <w:t xml:space="preserve">77.5x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19.5%</w:t>
            </w:r>
          </w:p>
        </w:tc>
        <w:tc>
          <w:tcPr/>
          <w:p>
            <w:pPr>
              <w:pStyle w:val="Compact"/>
            </w:pPr>
            <w:r>
              <w:t xml:space="preserve">12.0%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$43.16</w:t>
            </w:r>
          </w:p>
        </w:tc>
        <w:tc>
          <w:tcPr/>
          <w:p>
            <w:pPr>
              <w:pStyle w:val="Compact"/>
            </w:pPr>
            <w:r>
              <w:t xml:space="preserve">-81.5%</w:t>
            </w:r>
          </w:p>
        </w:tc>
      </w:tr>
      <w:tr>
        <w:tc>
          <w:tcPr/>
          <w:p>
            <w:pPr>
              <w:pStyle w:val="Compact"/>
            </w:pPr>
            <w:r>
              <w:t xml:space="preserve">Base</w:t>
            </w:r>
          </w:p>
        </w:tc>
        <w:tc>
          <w:tcPr/>
          <w:p>
            <w:pPr>
              <w:pStyle w:val="Compact"/>
            </w:pPr>
            <w:r>
              <w:t xml:space="preserve">38.9%</w:t>
            </w:r>
          </w:p>
        </w:tc>
        <w:tc>
          <w:tcPr/>
          <w:p>
            <w:pPr>
              <w:pStyle w:val="Compact"/>
            </w:pPr>
            <w:r>
              <w:t xml:space="preserve">15.0%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$166.62</w:t>
            </w:r>
          </w:p>
        </w:tc>
        <w:tc>
          <w:tcPr/>
          <w:p>
            <w:pPr>
              <w:pStyle w:val="Compact"/>
            </w:pPr>
            <w:r>
              <w:t xml:space="preserve">-28.5%</w:t>
            </w:r>
          </w:p>
        </w:tc>
      </w:tr>
      <w:tr>
        <w:tc>
          <w:tcPr/>
          <w:p>
            <w:pPr>
              <w:pStyle w:val="Compact"/>
            </w:pPr>
            <w:r>
              <w:t xml:space="preserve">Bull</w:t>
            </w:r>
          </w:p>
        </w:tc>
        <w:tc>
          <w:tcPr/>
          <w:p>
            <w:pPr>
              <w:pStyle w:val="Compact"/>
            </w:pPr>
            <w:r>
              <w:t xml:space="preserve">50.6%</w:t>
            </w:r>
          </w:p>
        </w:tc>
        <w:tc>
          <w:tcPr/>
          <w:p>
            <w:pPr>
              <w:pStyle w:val="Compact"/>
            </w:pPr>
            <w:r>
              <w:t xml:space="preserve">17.2%</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$344.61</w:t>
            </w:r>
          </w:p>
        </w:tc>
        <w:tc>
          <w:tcPr/>
          <w:p>
            <w:pPr>
              <w:pStyle w:val="Compact"/>
            </w:pPr>
            <w:r>
              <w:t xml:space="preserve">48.0%</w:t>
            </w:r>
          </w:p>
        </w:tc>
      </w:tr>
    </w:tbl>
    <w:p>
      <w:pPr>
        <w:pStyle w:val="BodyText"/>
      </w:pPr>
      <w:r>
        <w:t xml:space="preserve">Probability-weighted value</w:t>
      </w:r>
      <w:r>
        <w:t xml:space="preserve"> </w:t>
      </w:r>
      <w:r>
        <w:rPr>
          <w:b/>
          <w:bCs/>
        </w:rPr>
        <w:t xml:space="preserve">$180.25</w:t>
      </w:r>
      <w:r>
        <w:t xml:space="preserve"> </w:t>
      </w:r>
      <w:r>
        <w:t xml:space="preserve">(-22.6%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34.4 bn USD; terminal share 59.3%.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47.6%</w:t>
      </w:r>
      <w:r>
        <w:t xml:space="preserve"> </w:t>
      </w:r>
      <w:r>
        <w:t xml:space="preserve">vs consensus FY+1 38.9%.</w:t>
      </w:r>
    </w:p>
    <w:p>
      <w:pPr>
        <w:pStyle w:val="Compact"/>
        <w:numPr>
          <w:ilvl w:val="0"/>
          <w:numId w:val="1013"/>
        </w:numPr>
      </w:pPr>
      <w:r>
        <w:t xml:space="preserve">WACC (CAPM) = rf 5.1% + β 1.60 × ERP 5.0% = 13.1%.</w:t>
      </w:r>
    </w:p>
    <w:p>
      <w:pPr>
        <w:pStyle w:val="Compact"/>
        <w:numPr>
          <w:ilvl w:val="0"/>
          <w:numId w:val="1013"/>
        </w:numPr>
      </w:pPr>
      <w:r>
        <w:t xml:space="preserve">SOTP segments: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Chinese module price competition; industrial weakness; </w:t>
      </w:r>
      <w:r>
        <w:rPr>
          <w:rFonts w:hint="eastAsia"/>
        </w:rPr>
        <w:t xml:space="preserve">debt｜中国模块价格战；工业疲弱；负债</w:t>
      </w:r>
      <w:r>
        <w:t xml:space="preserve"> | Falsifiers: Datacom growth below peers; GM </w:t>
      </w:r>
      <w:r>
        <w:rPr>
          <w:rFonts w:hint="eastAsia"/>
        </w:rPr>
        <w:t xml:space="preserve">stalls｜数通增速落后同业；毛利停滞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COHR_model_v20261017-0755.xlsx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07:57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2026-10-16T23:58:13Z</dcterms:created>
  <dcterms:modified xsi:type="dcterms:W3CDTF">2026-10-16T23:58:13Z</dcterms:modified>
</cp:coreProperties>
</file>

<file path=docProps/custom.xml><?xml version="1.0" encoding="utf-8"?>
<Properties xmlns="http://schemas.openxmlformats.org/officeDocument/2006/custom-properties" xmlns:vt="http://schemas.openxmlformats.org/officeDocument/2006/docPropsVTypes"/>
</file>