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dbe3c6063766660c4e870879f7e828931f90d67"/>
    <w:p>
      <w:pPr>
        <w:pStyle w:val="Heading1"/>
      </w:pPr>
      <w:r>
        <w:t xml:space="preserve">EME EMCOR Group, Inc. — </w:t>
      </w:r>
      <w:r>
        <w:rPr>
          <w:rFonts w:hint="eastAsia"/>
        </w:rPr>
        <w:t xml:space="preserve">个股深度研究</w:t>
      </w:r>
      <w:r>
        <w:t xml:space="preserve"> </w:t>
      </w:r>
      <w:r>
        <w:rPr>
          <w:rFonts w:hint="eastAsia"/>
        </w:rPr>
        <w:t xml:space="preserve">(专业中文版)</w:t>
      </w:r>
      <w:r>
        <w:t xml:space="preserve"> v20261017-0755</w:t>
      </w:r>
    </w:p>
    <w:p>
      <w:pPr>
        <w:pStyle w:val="BlockText"/>
      </w:pPr>
      <w:r>
        <w:rPr>
          <w:rFonts w:hint="eastAsia"/>
        </w:rPr>
        <w:t xml:space="preserve">数据截至</w:t>
      </w:r>
      <w:r>
        <w:t xml:space="preserve"> 2026-10-17 07:55 </w:t>
      </w:r>
      <w:r>
        <w:rPr>
          <w:rFonts w:hint="eastAsia"/>
        </w:rPr>
        <w:t xml:space="preserve">SGT｜价格</w:t>
      </w:r>
      <w:r>
        <w:t xml:space="preserve"> </w:t>
      </w:r>
      <w:r>
        <w:rPr>
          <w:rFonts w:hint="eastAsia"/>
        </w:rPr>
        <w:t xml:space="preserve">$721.66｜市值</w:t>
      </w:r>
      <w:r>
        <w:t xml:space="preserve"> 31.8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EMCOR把AI数据中心与制造回流转化为高可见度在手订单(RPO)；以项目执行与利润率稳定见长。</w:t>
      </w:r>
    </w:p>
    <w:p>
      <w:pPr>
        <w:pStyle w:val="Compact"/>
        <w:numPr>
          <w:ilvl w:val="0"/>
          <w:numId w:val="1001"/>
        </w:numPr>
      </w:pPr>
      <w:r>
        <w:rPr>
          <w:rFonts w:hint="eastAsia"/>
          <w:b/>
          <w:bCs/>
        </w:rPr>
        <w:t xml:space="preserve">多头驱动</w:t>
      </w:r>
      <w:r>
        <w:t xml:space="preserve">: RPO keeps growing; margin expands with </w:t>
      </w:r>
      <w:r>
        <w:rPr>
          <w:rFonts w:hint="eastAsia"/>
        </w:rPr>
        <w:t xml:space="preserve">prefab｜RPO持续增长；预制化提升利润率</w:t>
      </w:r>
    </w:p>
    <w:p>
      <w:pPr>
        <w:pStyle w:val="Compact"/>
        <w:numPr>
          <w:ilvl w:val="0"/>
          <w:numId w:val="1001"/>
        </w:numPr>
      </w:pPr>
      <w:r>
        <w:rPr>
          <w:rFonts w:hint="eastAsia"/>
          <w:b/>
          <w:bCs/>
        </w:rPr>
        <w:t xml:space="preserve">空头驱动</w:t>
      </w:r>
      <w:r>
        <w:t xml:space="preserve">: DC project timing pushouts; labor cost </w:t>
      </w:r>
      <w:r>
        <w:rPr>
          <w:rFonts w:hint="eastAsia"/>
        </w:rPr>
        <w:t xml:space="preserve">inflation｜数据中心项目延后；人工成本</w:t>
      </w:r>
    </w:p>
    <w:p>
      <w:pPr>
        <w:pStyle w:val="Compact"/>
        <w:numPr>
          <w:ilvl w:val="0"/>
          <w:numId w:val="1001"/>
        </w:numPr>
      </w:pPr>
      <w:r>
        <w:rPr>
          <w:rFonts w:hint="eastAsia"/>
          <w:b/>
          <w:bCs/>
        </w:rPr>
        <w:t xml:space="preserve">证伪条件</w:t>
      </w:r>
      <w:r>
        <w:rPr>
          <w:b/>
          <w:bCs/>
        </w:rPr>
        <w:t xml:space="preserve"> Falsifiers</w:t>
      </w:r>
      <w:r>
        <w:t xml:space="preserve">: RPO declines; op margin </w:t>
      </w:r>
      <w:r>
        <w:rPr>
          <w:rFonts w:hint="eastAsia"/>
        </w:rPr>
        <w:t xml:space="preserve">&lt;8%｜RPO下降；营业利润率&lt;8%</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Electrical/mechanical contractor (DC build) </w:t>
      </w:r>
      <w:r>
        <w:rPr>
          <w:rFonts w:hint="eastAsia"/>
        </w:rPr>
        <w:t xml:space="preserve">机电工程(数据中心建设)</w:t>
      </w:r>
    </w:p>
    <w:p>
      <w:pPr>
        <w:pStyle w:val="Compact"/>
        <w:numPr>
          <w:ilvl w:val="0"/>
          <w:numId w:val="1002"/>
        </w:numPr>
      </w:pPr>
      <w:r>
        <w:rPr>
          <w:rFonts w:hint="eastAsia"/>
        </w:rPr>
        <w:t xml:space="preserve">业务分部</w:t>
      </w:r>
      <w:r>
        <w:t xml:space="preserve"> Segments: US Electrical construction </w:t>
      </w:r>
      <w:r>
        <w:rPr>
          <w:rFonts w:hint="eastAsia"/>
        </w:rPr>
        <w:t xml:space="preserve">电气；US</w:t>
      </w:r>
      <w:r>
        <w:t xml:space="preserve"> Mechanical construction </w:t>
      </w:r>
      <w:r>
        <w:rPr>
          <w:rFonts w:hint="eastAsia"/>
        </w:rPr>
        <w:t xml:space="preserve">机械；US</w:t>
      </w:r>
      <w:r>
        <w:t xml:space="preserve"> Building services </w:t>
      </w:r>
      <w:r>
        <w:rPr>
          <w:rFonts w:hint="eastAsia"/>
        </w:rPr>
        <w:t xml:space="preserve">楼宇服务；UK</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EMCOR Group, Inc. provides electrical and mechanical construction and facilities, building, and industrial services in the United States and the United Kingdom. It offers design, integration, installation, startup, operation, and maintenance services related to power transmission, distribution, and generation systems; energy solutions; premises electrical and lighting systems; process instrumentation; low-voltage systems; voice and data communications systems; roadway and transit lighting, signaling, and fiber optic lines; computerized traffic control systems, and signal and communication equipment; heating, ventilation, air conditioning, refrigeration, and geothermal solutions; clean-room process ventilation systems; fire protection and suppression systems; plumbing, process, and piping systems; control and filtration systems; water and wastewater treatment systems; central plant heatin</w:t>
      </w:r>
    </w:p>
    <w:p>
      <w:pPr>
        <w:pStyle w:val="Compact"/>
        <w:numPr>
          <w:ilvl w:val="0"/>
          <w:numId w:val="1002"/>
        </w:numPr>
      </w:pPr>
      <w:r>
        <w:rPr>
          <w:rFonts w:hint="eastAsia"/>
        </w:rPr>
        <w:t xml:space="preserve">主要客户:</w:t>
      </w:r>
      <w:r>
        <w:t xml:space="preserve"> Data-center developers, manufacturing (semis/pharma), healthcare, </w:t>
      </w:r>
      <w:r>
        <w:rPr>
          <w:rFonts w:hint="eastAsia"/>
        </w:rPr>
        <w:t xml:space="preserve">institutional｜数据中心开发商、制造业、医疗、机构</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Skilled labor, electrical gear (switchgear, transformers), HVAC </w:t>
      </w:r>
      <w:r>
        <w:rPr>
          <w:rFonts w:hint="eastAsia"/>
        </w:rPr>
        <w:t xml:space="preserve">equipment｜技术工人、电气设备、暖通设备</w:t>
      </w:r>
    </w:p>
    <w:p>
      <w:pPr>
        <w:pStyle w:val="Compact"/>
        <w:numPr>
          <w:ilvl w:val="0"/>
          <w:numId w:val="1003"/>
        </w:numPr>
      </w:pPr>
      <w:r>
        <w:rPr>
          <w:rFonts w:hint="eastAsia"/>
        </w:rPr>
        <w:t xml:space="preserve">竞争者</w:t>
      </w:r>
      <w:r>
        <w:t xml:space="preserve"> </w:t>
      </w:r>
      <w:r>
        <w:rPr>
          <w:rFonts w:hint="eastAsia"/>
        </w:rPr>
        <w:t xml:space="preserve">(含业外):</w:t>
      </w:r>
      <w:r>
        <w:t xml:space="preserve"> Quanta, MYR, Comfort Systems, private </w:t>
      </w:r>
      <w:r>
        <w:rPr>
          <w:rFonts w:hint="eastAsia"/>
        </w:rPr>
        <w:t xml:space="preserve">contractors｜Quanta、MYR、Comfort</w:t>
      </w:r>
      <w:r>
        <w:t xml:space="preserve"> Systems</w:t>
      </w:r>
    </w:p>
    <w:p>
      <w:pPr>
        <w:pStyle w:val="Compact"/>
        <w:numPr>
          <w:ilvl w:val="0"/>
          <w:numId w:val="1003"/>
        </w:numPr>
      </w:pPr>
      <w:r>
        <w:rPr>
          <w:rFonts w:hint="eastAsia"/>
        </w:rPr>
        <w:t xml:space="preserve">瓶颈/监管:</w:t>
      </w:r>
      <w:r>
        <w:t xml:space="preserve"> Skilled labor, equipment lead </w:t>
      </w:r>
      <w:r>
        <w:rPr>
          <w:rFonts w:hint="eastAsia"/>
        </w:rPr>
        <w:t xml:space="preserve">times｜技术工人、设备交期</w:t>
      </w:r>
    </w:p>
    <w:p>
      <w:pPr>
        <w:pStyle w:val="Compact"/>
        <w:numPr>
          <w:ilvl w:val="0"/>
          <w:numId w:val="1003"/>
        </w:numPr>
      </w:pPr>
      <w:r>
        <w:rPr>
          <w:rFonts w:hint="eastAsia"/>
        </w:rPr>
        <w:t xml:space="preserve">关键KPI:</w:t>
      </w:r>
      <w:r>
        <w:t xml:space="preserve"> RPO, op margin, network &amp; communications sector </w:t>
      </w:r>
      <w:r>
        <w:rPr>
          <w:rFonts w:hint="eastAsia"/>
        </w:rPr>
        <w:t xml:space="preserve">revenue｜RPO、营业利润率、网络通信行业收入</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5.2 bn USD</w:t>
            </w:r>
          </w:p>
        </w:tc>
        <w:tc>
          <w:tcPr/>
          <w:p>
            <w:pPr>
              <w:pStyle w:val="Compact"/>
            </w:pPr>
            <w:r>
              <w:t xml:space="preserve">1.0 bn USD</w:t>
            </w:r>
          </w:p>
        </w:tc>
        <w:tc>
          <w:tcPr/>
          <w:p>
            <w:pPr>
              <w:pStyle w:val="Compact"/>
            </w:pPr>
            <w:r>
              <w:t xml:space="preserve">0.5 bn USD</w:t>
            </w:r>
          </w:p>
        </w:tc>
        <w:tc>
          <w:tcPr/>
          <w:p>
            <w:pPr>
              <w:pStyle w:val="Compact"/>
            </w:pPr>
            <w:r>
              <w:t xml:space="preserve">0.4 bn USD</w:t>
            </w:r>
          </w:p>
        </w:tc>
        <w:tc>
          <w:tcPr/>
          <w:p>
            <w:pPr>
              <w:pStyle w:val="Compact"/>
            </w:pPr>
            <w:r>
              <w:t xml:space="preserve">0.3 bn USD</w:t>
            </w:r>
          </w:p>
        </w:tc>
        <w:tc>
          <w:tcPr/>
          <w:p>
            <w:pPr>
              <w:pStyle w:val="Compact"/>
            </w:pPr>
            <w:r>
              <w:t xml:space="preserve">10.6%</w:t>
            </w:r>
          </w:p>
        </w:tc>
      </w:tr>
      <w:tr>
        <w:tc>
          <w:tcPr/>
          <w:p>
            <w:pPr>
              <w:pStyle w:val="Compact"/>
            </w:pPr>
            <w:r>
              <w:t xml:space="preserve">2026-03-31</w:t>
            </w:r>
          </w:p>
        </w:tc>
        <w:tc>
          <w:tcPr/>
          <w:p>
            <w:pPr>
              <w:pStyle w:val="Compact"/>
            </w:pPr>
            <w:r>
              <w:t xml:space="preserve">4.6 bn USD</w:t>
            </w:r>
          </w:p>
        </w:tc>
        <w:tc>
          <w:tcPr/>
          <w:p>
            <w:pPr>
              <w:pStyle w:val="Compact"/>
            </w:pPr>
            <w:r>
              <w:t xml:space="preserve">0.9 bn USD</w:t>
            </w:r>
          </w:p>
        </w:tc>
        <w:tc>
          <w:tcPr/>
          <w:p>
            <w:pPr>
              <w:pStyle w:val="Compact"/>
            </w:pPr>
            <w:r>
              <w:t xml:space="preserve">0.4 bn USD</w:t>
            </w:r>
          </w:p>
        </w:tc>
        <w:tc>
          <w:tcPr/>
          <w:p>
            <w:pPr>
              <w:pStyle w:val="Compact"/>
            </w:pPr>
            <w:r>
              <w:t xml:space="preserve">0.3 bn USD</w:t>
            </w:r>
          </w:p>
        </w:tc>
        <w:tc>
          <w:tcPr/>
          <w:p>
            <w:pPr>
              <w:pStyle w:val="Compact"/>
            </w:pPr>
            <w:r>
              <w:t xml:space="preserve">-28.2 mn USD</w:t>
            </w:r>
          </w:p>
        </w:tc>
        <w:tc>
          <w:tcPr/>
          <w:p>
            <w:pPr>
              <w:pStyle w:val="Compact"/>
            </w:pPr>
            <w:r>
              <w:t xml:space="preserve">8.7%</w:t>
            </w:r>
          </w:p>
        </w:tc>
      </w:tr>
      <w:tr>
        <w:tc>
          <w:tcPr/>
          <w:p>
            <w:pPr>
              <w:pStyle w:val="Compact"/>
            </w:pPr>
            <w:r>
              <w:t xml:space="preserve">2025-12-31</w:t>
            </w:r>
          </w:p>
        </w:tc>
        <w:tc>
          <w:tcPr/>
          <w:p>
            <w:pPr>
              <w:pStyle w:val="Compact"/>
            </w:pPr>
            <w:r>
              <w:t xml:space="preserve">4.5 bn USD</w:t>
            </w:r>
          </w:p>
        </w:tc>
        <w:tc>
          <w:tcPr/>
          <w:p>
            <w:pPr>
              <w:pStyle w:val="Compact"/>
            </w:pPr>
            <w:r>
              <w:t xml:space="preserve">0.9 bn USD</w:t>
            </w:r>
          </w:p>
        </w:tc>
        <w:tc>
          <w:tcPr/>
          <w:p>
            <w:pPr>
              <w:pStyle w:val="Compact"/>
            </w:pPr>
            <w:r>
              <w:t xml:space="preserve">0.4 bn USD</w:t>
            </w:r>
          </w:p>
        </w:tc>
        <w:tc>
          <w:tcPr/>
          <w:p>
            <w:pPr>
              <w:pStyle w:val="Compact"/>
            </w:pPr>
            <w:r>
              <w:t xml:space="preserve">0.4 bn USD</w:t>
            </w:r>
          </w:p>
        </w:tc>
        <w:tc>
          <w:tcPr/>
          <w:p>
            <w:pPr>
              <w:pStyle w:val="Compact"/>
            </w:pPr>
            <w:r>
              <w:t xml:space="preserve">0.5 bn USD</w:t>
            </w:r>
          </w:p>
        </w:tc>
        <w:tc>
          <w:tcPr/>
          <w:p>
            <w:pPr>
              <w:pStyle w:val="Compact"/>
            </w:pPr>
            <w:r>
              <w:t xml:space="preserve">9.5%</w:t>
            </w:r>
          </w:p>
        </w:tc>
      </w:tr>
      <w:tr>
        <w:tc>
          <w:tcPr/>
          <w:p>
            <w:pPr>
              <w:pStyle w:val="Compact"/>
            </w:pPr>
            <w:r>
              <w:t xml:space="preserve">2025-09-30</w:t>
            </w:r>
          </w:p>
        </w:tc>
        <w:tc>
          <w:tcPr/>
          <w:p>
            <w:pPr>
              <w:pStyle w:val="Compact"/>
            </w:pPr>
            <w:r>
              <w:t xml:space="preserve">4.3 bn USD</w:t>
            </w:r>
          </w:p>
        </w:tc>
        <w:tc>
          <w:tcPr/>
          <w:p>
            <w:pPr>
              <w:pStyle w:val="Compact"/>
            </w:pPr>
            <w:r>
              <w:t xml:space="preserve">0.8 bn USD</w:t>
            </w:r>
          </w:p>
        </w:tc>
        <w:tc>
          <w:tcPr/>
          <w:p>
            <w:pPr>
              <w:pStyle w:val="Compact"/>
            </w:pPr>
            <w:r>
              <w:t xml:space="preserve">0.4 bn USD</w:t>
            </w:r>
          </w:p>
        </w:tc>
        <w:tc>
          <w:tcPr/>
          <w:p>
            <w:pPr>
              <w:pStyle w:val="Compact"/>
            </w:pPr>
            <w:r>
              <w:t xml:space="preserve">0.3 bn USD</w:t>
            </w:r>
          </w:p>
        </w:tc>
        <w:tc>
          <w:tcPr/>
          <w:p>
            <w:pPr>
              <w:pStyle w:val="Compact"/>
            </w:pPr>
            <w:r>
              <w:t xml:space="preserve">0.4 bn USD</w:t>
            </w:r>
          </w:p>
        </w:tc>
        <w:tc>
          <w:tcPr/>
          <w:p>
            <w:pPr>
              <w:pStyle w:val="Compact"/>
            </w:pPr>
            <w:r>
              <w:t xml:space="preserve">9.4%</w:t>
            </w:r>
          </w:p>
        </w:tc>
      </w:tr>
      <w:tr>
        <w:tc>
          <w:tcPr/>
          <w:p>
            <w:pPr>
              <w:pStyle w:val="Compact"/>
            </w:pPr>
            <w:r>
              <w:t xml:space="preserve">2025-06-30</w:t>
            </w:r>
          </w:p>
        </w:tc>
        <w:tc>
          <w:tcPr/>
          <w:p>
            <w:pPr>
              <w:pStyle w:val="Compact"/>
            </w:pPr>
            <w:r>
              <w:t xml:space="preserve">4.3 bn USD</w:t>
            </w:r>
          </w:p>
        </w:tc>
        <w:tc>
          <w:tcPr/>
          <w:p>
            <w:pPr>
              <w:pStyle w:val="Compact"/>
            </w:pPr>
            <w:r>
              <w:t xml:space="preserve">0.8 bn USD</w:t>
            </w:r>
          </w:p>
        </w:tc>
        <w:tc>
          <w:tcPr/>
          <w:p>
            <w:pPr>
              <w:pStyle w:val="Compact"/>
            </w:pPr>
            <w:r>
              <w:t xml:space="preserve">0.4 bn USD</w:t>
            </w:r>
          </w:p>
        </w:tc>
        <w:tc>
          <w:tcPr/>
          <w:p>
            <w:pPr>
              <w:pStyle w:val="Compact"/>
            </w:pPr>
            <w:r>
              <w:t xml:space="preserve">0.3 bn USD</w:t>
            </w:r>
          </w:p>
        </w:tc>
        <w:tc>
          <w:tcPr/>
          <w:p>
            <w:pPr>
              <w:pStyle w:val="Compact"/>
            </w:pPr>
            <w:r>
              <w:t xml:space="preserve">0.2 bn USD</w:t>
            </w:r>
          </w:p>
        </w:tc>
        <w:tc>
          <w:tcPr/>
          <w:p>
            <w:pPr>
              <w:pStyle w:val="Compact"/>
            </w:pPr>
            <w:r>
              <w:t xml:space="preserve">9.6%</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0.9 bn </w:t>
      </w:r>
      <w:r>
        <w:rPr>
          <w:rFonts w:hint="eastAsia"/>
        </w:rPr>
        <w:t xml:space="preserve">USD；总负债</w:t>
      </w:r>
      <w:r>
        <w:t xml:space="preserve"> 0.5 bn </w:t>
      </w:r>
      <w:r>
        <w:rPr>
          <w:rFonts w:hint="eastAsia"/>
        </w:rPr>
        <w:t xml:space="preserve">USD；净现金</w:t>
      </w:r>
      <w:r>
        <w:t xml:space="preserve"> 0.4 bn USD。TTM FCF 1.2 bn </w:t>
      </w:r>
      <w:r>
        <w:rPr>
          <w:rFonts w:hint="eastAsia"/>
        </w:rPr>
        <w:t xml:space="preserve">USD（FCF率</w:t>
      </w:r>
      <w:r>
        <w:t xml:space="preserve"> </w:t>
      </w:r>
      <w:r>
        <w:rPr>
          <w:rFonts w:hint="eastAsia"/>
        </w:rPr>
        <w:t xml:space="preserve">6.3%）。</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6.57</w:t>
            </w:r>
          </w:p>
        </w:tc>
        <w:tc>
          <w:tcPr/>
          <w:p>
            <w:pPr>
              <w:pStyle w:val="Compact"/>
            </w:pPr>
            <w:r>
              <w:t xml:space="preserve">6.5275</w:t>
            </w:r>
          </w:p>
        </w:tc>
        <w:tc>
          <w:tcPr/>
          <w:p>
            <w:pPr>
              <w:pStyle w:val="Compact"/>
            </w:pPr>
            <w:r>
              <w:t xml:space="preserve">0.0064999997</w:t>
            </w:r>
          </w:p>
        </w:tc>
      </w:tr>
      <w:tr>
        <w:tc>
          <w:tcPr/>
          <w:p>
            <w:pPr>
              <w:pStyle w:val="Compact"/>
            </w:pPr>
            <w:r>
              <w:t xml:space="preserve">2025-12-31</w:t>
            </w:r>
          </w:p>
        </w:tc>
        <w:tc>
          <w:tcPr/>
          <w:p>
            <w:pPr>
              <w:pStyle w:val="Compact"/>
            </w:pPr>
            <w:r>
              <w:t xml:space="preserve">7.19</w:t>
            </w:r>
          </w:p>
        </w:tc>
        <w:tc>
          <w:tcPr/>
          <w:p>
            <w:pPr>
              <w:pStyle w:val="Compact"/>
            </w:pPr>
            <w:r>
              <w:t xml:space="preserve">6.68125</w:t>
            </w:r>
          </w:p>
        </w:tc>
        <w:tc>
          <w:tcPr/>
          <w:p>
            <w:pPr>
              <w:pStyle w:val="Compact"/>
            </w:pPr>
            <w:r>
              <w:t xml:space="preserve">0.0761</w:t>
            </w:r>
          </w:p>
        </w:tc>
      </w:tr>
      <w:tr>
        <w:tc>
          <w:tcPr/>
          <w:p>
            <w:pPr>
              <w:pStyle w:val="Compact"/>
            </w:pPr>
            <w:r>
              <w:t xml:space="preserve">2026-03-31</w:t>
            </w:r>
          </w:p>
        </w:tc>
        <w:tc>
          <w:tcPr/>
          <w:p>
            <w:pPr>
              <w:pStyle w:val="Compact"/>
            </w:pPr>
            <w:r>
              <w:t xml:space="preserve">6.84</w:t>
            </w:r>
          </w:p>
        </w:tc>
        <w:tc>
          <w:tcPr/>
          <w:p>
            <w:pPr>
              <w:pStyle w:val="Compact"/>
            </w:pPr>
            <w:r>
              <w:t xml:space="preserve">5.90443</w:t>
            </w:r>
          </w:p>
        </w:tc>
        <w:tc>
          <w:tcPr/>
          <w:p>
            <w:pPr>
              <w:pStyle w:val="Compact"/>
            </w:pPr>
            <w:r>
              <w:t xml:space="preserve">0.1585</w:t>
            </w:r>
          </w:p>
        </w:tc>
      </w:tr>
      <w:tr>
        <w:tc>
          <w:tcPr/>
          <w:p>
            <w:pPr>
              <w:pStyle w:val="Compact"/>
            </w:pPr>
            <w:r>
              <w:t xml:space="preserve">2026-06-30</w:t>
            </w:r>
          </w:p>
        </w:tc>
        <w:tc>
          <w:tcPr/>
          <w:p>
            <w:pPr>
              <w:pStyle w:val="Compact"/>
            </w:pPr>
            <w:r>
              <w:t xml:space="preserve">9.06</w:t>
            </w:r>
          </w:p>
        </w:tc>
        <w:tc>
          <w:tcPr/>
          <w:p>
            <w:pPr>
              <w:pStyle w:val="Compact"/>
            </w:pPr>
            <w:r>
              <w:t xml:space="preserve">7.23108</w:t>
            </w:r>
          </w:p>
        </w:tc>
        <w:tc>
          <w:tcPr/>
          <w:p>
            <w:pPr>
              <w:pStyle w:val="Compact"/>
            </w:pPr>
            <w:r>
              <w:t xml:space="preserve">0.2529</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2026-10-29</w:t>
      </w:r>
      <w:r>
        <w:rPr>
          <w:rFonts w:hint="eastAsia"/>
        </w:rPr>
        <w:t xml:space="preserve">；本季EPS一致预期</w:t>
      </w:r>
      <w:r>
        <w:t xml:space="preserve"> </w:t>
      </w:r>
      <w:r>
        <w:rPr>
          <w:rFonts w:hint="eastAsia"/>
        </w:rPr>
        <w:t xml:space="preserve">8.3568（10位分析师）；收入一致预期</w:t>
      </w:r>
      <w:r>
        <w:t xml:space="preserve"> 5.2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$387.76</w:t>
            </w:r>
          </w:p>
        </w:tc>
        <w:tc>
          <w:tcPr/>
          <w:p>
            <w:pPr>
              <w:pStyle w:val="Compact"/>
            </w:pPr>
            <w:r>
              <w:t xml:space="preserve">-46.3%</w:t>
            </w:r>
          </w:p>
        </w:tc>
      </w:tr>
      <w:tr>
        <w:tc>
          <w:tcPr/>
          <w:p>
            <w:pPr>
              <w:pStyle w:val="Compact"/>
            </w:pPr>
            <w:r>
              <w:t xml:space="preserve">2Q</w:t>
            </w:r>
          </w:p>
        </w:tc>
        <w:tc>
          <w:tcPr/>
          <w:p>
            <w:pPr>
              <w:pStyle w:val="Compact"/>
            </w:pPr>
            <w:r>
              <w:t xml:space="preserve">Base</w:t>
            </w:r>
          </w:p>
        </w:tc>
        <w:tc>
          <w:tcPr/>
          <w:p>
            <w:pPr>
              <w:pStyle w:val="Compact"/>
            </w:pPr>
            <w:r>
              <w:t xml:space="preserve">$737.04</w:t>
            </w:r>
          </w:p>
        </w:tc>
        <w:tc>
          <w:tcPr/>
          <w:p>
            <w:pPr>
              <w:pStyle w:val="Compact"/>
            </w:pPr>
            <w:r>
              <w:t xml:space="preserve">2.1%</w:t>
            </w:r>
          </w:p>
        </w:tc>
      </w:tr>
      <w:tr>
        <w:tc>
          <w:tcPr/>
          <w:p>
            <w:pPr>
              <w:pStyle w:val="Compact"/>
            </w:pPr>
            <w:r>
              <w:t xml:space="preserve">2Q</w:t>
            </w:r>
          </w:p>
        </w:tc>
        <w:tc>
          <w:tcPr/>
          <w:p>
            <w:pPr>
              <w:pStyle w:val="Compact"/>
            </w:pPr>
            <w:r>
              <w:t xml:space="preserve">Bull</w:t>
            </w:r>
          </w:p>
        </w:tc>
        <w:tc>
          <w:tcPr/>
          <w:p>
            <w:pPr>
              <w:pStyle w:val="Compact"/>
            </w:pPr>
            <w:r>
              <w:t xml:space="preserve">$1,123.96</w:t>
            </w:r>
          </w:p>
        </w:tc>
        <w:tc>
          <w:tcPr/>
          <w:p>
            <w:pPr>
              <w:pStyle w:val="Compact"/>
            </w:pPr>
            <w:r>
              <w:t xml:space="preserve">55.7%</w:t>
            </w:r>
          </w:p>
        </w:tc>
      </w:tr>
      <w:tr>
        <w:tc>
          <w:tcPr/>
          <w:p>
            <w:pPr>
              <w:pStyle w:val="Compact"/>
            </w:pPr>
            <w:r>
              <w:t xml:space="preserve">4Q</w:t>
            </w:r>
          </w:p>
        </w:tc>
        <w:tc>
          <w:tcPr/>
          <w:p>
            <w:pPr>
              <w:pStyle w:val="Compact"/>
            </w:pPr>
            <w:r>
              <w:t xml:space="preserve">Bear</w:t>
            </w:r>
          </w:p>
        </w:tc>
        <w:tc>
          <w:tcPr/>
          <w:p>
            <w:pPr>
              <w:pStyle w:val="Compact"/>
            </w:pPr>
            <w:r>
              <w:t xml:space="preserve">$367.32</w:t>
            </w:r>
          </w:p>
        </w:tc>
        <w:tc>
          <w:tcPr/>
          <w:p>
            <w:pPr>
              <w:pStyle w:val="Compact"/>
            </w:pPr>
            <w:r>
              <w:t xml:space="preserve">-49.1%</w:t>
            </w:r>
          </w:p>
        </w:tc>
      </w:tr>
      <w:tr>
        <w:tc>
          <w:tcPr/>
          <w:p>
            <w:pPr>
              <w:pStyle w:val="Compact"/>
            </w:pPr>
            <w:r>
              <w:t xml:space="preserve">4Q</w:t>
            </w:r>
          </w:p>
        </w:tc>
        <w:tc>
          <w:tcPr/>
          <w:p>
            <w:pPr>
              <w:pStyle w:val="Compact"/>
            </w:pPr>
            <w:r>
              <w:t xml:space="preserve">Base</w:t>
            </w:r>
          </w:p>
        </w:tc>
        <w:tc>
          <w:tcPr/>
          <w:p>
            <w:pPr>
              <w:pStyle w:val="Compact"/>
            </w:pPr>
            <w:r>
              <w:t xml:space="preserve">$734.62</w:t>
            </w:r>
          </w:p>
        </w:tc>
        <w:tc>
          <w:tcPr/>
          <w:p>
            <w:pPr>
              <w:pStyle w:val="Compact"/>
            </w:pPr>
            <w:r>
              <w:t xml:space="preserve">1.8%</w:t>
            </w:r>
          </w:p>
        </w:tc>
      </w:tr>
      <w:tr>
        <w:tc>
          <w:tcPr/>
          <w:p>
            <w:pPr>
              <w:pStyle w:val="Compact"/>
            </w:pPr>
            <w:r>
              <w:t xml:space="preserve">4Q</w:t>
            </w:r>
          </w:p>
        </w:tc>
        <w:tc>
          <w:tcPr/>
          <w:p>
            <w:pPr>
              <w:pStyle w:val="Compact"/>
            </w:pPr>
            <w:r>
              <w:t xml:space="preserve">Bull</w:t>
            </w:r>
          </w:p>
        </w:tc>
        <w:tc>
          <w:tcPr/>
          <w:p>
            <w:pPr>
              <w:pStyle w:val="Compact"/>
            </w:pPr>
            <w:r>
              <w:t xml:space="preserve">$1,155.69</w:t>
            </w:r>
          </w:p>
        </w:tc>
        <w:tc>
          <w:tcPr/>
          <w:p>
            <w:pPr>
              <w:pStyle w:val="Compact"/>
            </w:pPr>
            <w:r>
              <w:t xml:space="preserve">60.1%</w:t>
            </w:r>
          </w:p>
        </w:tc>
      </w:tr>
      <w:tr>
        <w:tc>
          <w:tcPr/>
          <w:p>
            <w:pPr>
              <w:pStyle w:val="Compact"/>
            </w:pPr>
            <w:r>
              <w:t xml:space="preserve">6Q</w:t>
            </w:r>
          </w:p>
        </w:tc>
        <w:tc>
          <w:tcPr/>
          <w:p>
            <w:pPr>
              <w:pStyle w:val="Compact"/>
            </w:pPr>
            <w:r>
              <w:t xml:space="preserve">Bear</w:t>
            </w:r>
          </w:p>
        </w:tc>
        <w:tc>
          <w:tcPr/>
          <w:p>
            <w:pPr>
              <w:pStyle w:val="Compact"/>
            </w:pPr>
            <w:r>
              <w:t xml:space="preserve">$347.72</w:t>
            </w:r>
          </w:p>
        </w:tc>
        <w:tc>
          <w:tcPr/>
          <w:p>
            <w:pPr>
              <w:pStyle w:val="Compact"/>
            </w:pPr>
            <w:r>
              <w:t xml:space="preserve">-51.8%</w:t>
            </w:r>
          </w:p>
        </w:tc>
      </w:tr>
      <w:tr>
        <w:tc>
          <w:tcPr/>
          <w:p>
            <w:pPr>
              <w:pStyle w:val="Compact"/>
            </w:pPr>
            <w:r>
              <w:t xml:space="preserve">6Q</w:t>
            </w:r>
          </w:p>
        </w:tc>
        <w:tc>
          <w:tcPr/>
          <w:p>
            <w:pPr>
              <w:pStyle w:val="Compact"/>
            </w:pPr>
            <w:r>
              <w:t xml:space="preserve">Base</w:t>
            </w:r>
          </w:p>
        </w:tc>
        <w:tc>
          <w:tcPr/>
          <w:p>
            <w:pPr>
              <w:pStyle w:val="Compact"/>
            </w:pPr>
            <w:r>
              <w:t xml:space="preserve">$732.21</w:t>
            </w:r>
          </w:p>
        </w:tc>
        <w:tc>
          <w:tcPr/>
          <w:p>
            <w:pPr>
              <w:pStyle w:val="Compact"/>
            </w:pPr>
            <w:r>
              <w:t xml:space="preserve">1.5%</w:t>
            </w:r>
          </w:p>
        </w:tc>
      </w:tr>
      <w:tr>
        <w:tc>
          <w:tcPr/>
          <w:p>
            <w:pPr>
              <w:pStyle w:val="Compact"/>
            </w:pPr>
            <w:r>
              <w:t xml:space="preserve">6Q</w:t>
            </w:r>
          </w:p>
        </w:tc>
        <w:tc>
          <w:tcPr/>
          <w:p>
            <w:pPr>
              <w:pStyle w:val="Compact"/>
            </w:pPr>
            <w:r>
              <w:t xml:space="preserve">Bull</w:t>
            </w:r>
          </w:p>
        </w:tc>
        <w:tc>
          <w:tcPr/>
          <w:p>
            <w:pPr>
              <w:pStyle w:val="Compact"/>
            </w:pPr>
            <w:r>
              <w:t xml:space="preserve">$1,188.27</w:t>
            </w:r>
          </w:p>
        </w:tc>
        <w:tc>
          <w:tcPr/>
          <w:p>
            <w:pPr>
              <w:pStyle w:val="Compact"/>
            </w:pPr>
            <w:r>
              <w:t xml:space="preserve">64.7%</w:t>
            </w:r>
          </w:p>
        </w:tc>
      </w:tr>
      <w:tr>
        <w:tc>
          <w:tcPr/>
          <w:p>
            <w:pPr>
              <w:pStyle w:val="Compact"/>
            </w:pPr>
            <w:r>
              <w:t xml:space="preserve">8Q</w:t>
            </w:r>
          </w:p>
        </w:tc>
        <w:tc>
          <w:tcPr/>
          <w:p>
            <w:pPr>
              <w:pStyle w:val="Compact"/>
            </w:pPr>
            <w:r>
              <w:t xml:space="preserve">Bear</w:t>
            </w:r>
          </w:p>
        </w:tc>
        <w:tc>
          <w:tcPr/>
          <w:p>
            <w:pPr>
              <w:pStyle w:val="Compact"/>
            </w:pPr>
            <w:r>
              <w:t xml:space="preserve">$328.93</w:t>
            </w:r>
          </w:p>
        </w:tc>
        <w:tc>
          <w:tcPr/>
          <w:p>
            <w:pPr>
              <w:pStyle w:val="Compact"/>
            </w:pPr>
            <w:r>
              <w:t xml:space="preserve">-54.4%</w:t>
            </w:r>
          </w:p>
        </w:tc>
      </w:tr>
      <w:tr>
        <w:tc>
          <w:tcPr/>
          <w:p>
            <w:pPr>
              <w:pStyle w:val="Compact"/>
            </w:pPr>
            <w:r>
              <w:t xml:space="preserve">8Q</w:t>
            </w:r>
          </w:p>
        </w:tc>
        <w:tc>
          <w:tcPr/>
          <w:p>
            <w:pPr>
              <w:pStyle w:val="Compact"/>
            </w:pPr>
            <w:r>
              <w:t xml:space="preserve">Base</w:t>
            </w:r>
          </w:p>
        </w:tc>
        <w:tc>
          <w:tcPr/>
          <w:p>
            <w:pPr>
              <w:pStyle w:val="Compact"/>
            </w:pPr>
            <w:r>
              <w:t xml:space="preserve">$729.81</w:t>
            </w:r>
          </w:p>
        </w:tc>
        <w:tc>
          <w:tcPr/>
          <w:p>
            <w:pPr>
              <w:pStyle w:val="Compact"/>
            </w:pPr>
            <w:r>
              <w:t xml:space="preserve">1.1%</w:t>
            </w:r>
          </w:p>
        </w:tc>
      </w:tr>
      <w:tr>
        <w:tc>
          <w:tcPr/>
          <w:p>
            <w:pPr>
              <w:pStyle w:val="Compact"/>
            </w:pPr>
            <w:r>
              <w:t xml:space="preserve">8Q</w:t>
            </w:r>
          </w:p>
        </w:tc>
        <w:tc>
          <w:tcPr/>
          <w:p>
            <w:pPr>
              <w:pStyle w:val="Compact"/>
            </w:pPr>
            <w:r>
              <w:t xml:space="preserve">Bull</w:t>
            </w:r>
          </w:p>
        </w:tc>
        <w:tc>
          <w:tcPr/>
          <w:p>
            <w:pPr>
              <w:pStyle w:val="Compact"/>
            </w:pPr>
            <w:r>
              <w:t xml:space="preserve">$1,221.71</w:t>
            </w:r>
          </w:p>
        </w:tc>
        <w:tc>
          <w:tcPr/>
          <w:p>
            <w:pPr>
              <w:pStyle w:val="Compact"/>
            </w:pPr>
            <w:r>
              <w:t xml:space="preserve">69.3%</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23.2x</w:t>
            </w:r>
          </w:p>
        </w:tc>
      </w:tr>
      <w:tr>
        <w:tc>
          <w:tcPr/>
          <w:p>
            <w:pPr>
              <w:pStyle w:val="Compact"/>
            </w:pPr>
            <w:r>
              <w:t xml:space="preserve">4Q</w:t>
            </w:r>
          </w:p>
        </w:tc>
        <w:tc>
          <w:tcPr/>
          <w:p>
            <w:pPr>
              <w:pStyle w:val="Compact"/>
            </w:pPr>
            <w:r>
              <w:t xml:space="preserve">22.2x</w:t>
            </w:r>
          </w:p>
        </w:tc>
      </w:tr>
      <w:tr>
        <w:tc>
          <w:tcPr/>
          <w:p>
            <w:pPr>
              <w:pStyle w:val="Compact"/>
            </w:pPr>
            <w:r>
              <w:t xml:space="preserve">6Q</w:t>
            </w:r>
          </w:p>
        </w:tc>
        <w:tc>
          <w:tcPr/>
          <w:p>
            <w:pPr>
              <w:pStyle w:val="Compact"/>
            </w:pPr>
            <w:r>
              <w:t xml:space="preserve">21.1x</w:t>
            </w:r>
          </w:p>
        </w:tc>
      </w:tr>
      <w:tr>
        <w:tc>
          <w:tcPr/>
          <w:p>
            <w:pPr>
              <w:pStyle w:val="Compact"/>
            </w:pPr>
            <w:r>
              <w:t xml:space="preserve">8Q</w:t>
            </w:r>
          </w:p>
        </w:tc>
        <w:tc>
          <w:tcPr/>
          <w:p>
            <w:pPr>
              <w:pStyle w:val="Compact"/>
            </w:pPr>
            <w:r>
              <w:t xml:space="preserve">20.1x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5.6%</w:t>
            </w:r>
          </w:p>
        </w:tc>
        <w:tc>
          <w:tcPr/>
          <w:p>
            <w:pPr>
              <w:pStyle w:val="Compact"/>
            </w:pPr>
            <w:r>
              <w:t xml:space="preserve">4.8%</w:t>
            </w:r>
          </w:p>
        </w:tc>
        <w:tc>
          <w:tcPr/>
          <w:p>
            <w:pPr>
              <w:pStyle w:val="Compact"/>
            </w:pPr>
            <w:r>
              <w:t xml:space="preserve">11.7%</w:t>
            </w:r>
          </w:p>
        </w:tc>
        <w:tc>
          <w:tcPr/>
          <w:p>
            <w:pPr>
              <w:pStyle w:val="Compact"/>
            </w:pPr>
            <w:r>
              <w:t xml:space="preserve">2.5%</w:t>
            </w:r>
          </w:p>
        </w:tc>
        <w:tc>
          <w:tcPr/>
          <w:p>
            <w:pPr>
              <w:pStyle w:val="Compact"/>
            </w:pPr>
            <w:r>
              <w:t xml:space="preserve">25.0%</w:t>
            </w:r>
          </w:p>
        </w:tc>
        <w:tc>
          <w:tcPr/>
          <w:p>
            <w:pPr>
              <w:pStyle w:val="Compact"/>
            </w:pPr>
            <w:r>
              <w:t xml:space="preserve">$274.36</w:t>
            </w:r>
          </w:p>
        </w:tc>
        <w:tc>
          <w:tcPr/>
          <w:p>
            <w:pPr>
              <w:pStyle w:val="Compact"/>
            </w:pPr>
            <w:r>
              <w:t xml:space="preserve">-62.0%</w:t>
            </w:r>
          </w:p>
        </w:tc>
      </w:tr>
      <w:tr>
        <w:tc>
          <w:tcPr/>
          <w:p>
            <w:pPr>
              <w:pStyle w:val="Compact"/>
            </w:pPr>
            <w:r>
              <w:t xml:space="preserve">Base</w:t>
            </w:r>
          </w:p>
        </w:tc>
        <w:tc>
          <w:tcPr/>
          <w:p>
            <w:pPr>
              <w:pStyle w:val="Compact"/>
            </w:pPr>
            <w:r>
              <w:t xml:space="preserve">11.1%</w:t>
            </w:r>
          </w:p>
        </w:tc>
        <w:tc>
          <w:tcPr/>
          <w:p>
            <w:pPr>
              <w:pStyle w:val="Compact"/>
            </w:pPr>
            <w:r>
              <w:t xml:space="preserve">6.0%</w:t>
            </w:r>
          </w:p>
        </w:tc>
        <w:tc>
          <w:tcPr/>
          <w:p>
            <w:pPr>
              <w:pStyle w:val="Compact"/>
            </w:pPr>
            <w:r>
              <w:t xml:space="preserve">10.7%</w:t>
            </w:r>
          </w:p>
        </w:tc>
        <w:tc>
          <w:tcPr/>
          <w:p>
            <w:pPr>
              <w:pStyle w:val="Compact"/>
            </w:pPr>
            <w:r>
              <w:t xml:space="preserve">3.0%</w:t>
            </w:r>
          </w:p>
        </w:tc>
        <w:tc>
          <w:tcPr/>
          <w:p>
            <w:pPr>
              <w:pStyle w:val="Compact"/>
            </w:pPr>
            <w:r>
              <w:t xml:space="preserve">50.0%</w:t>
            </w:r>
          </w:p>
        </w:tc>
        <w:tc>
          <w:tcPr/>
          <w:p>
            <w:pPr>
              <w:pStyle w:val="Compact"/>
            </w:pPr>
            <w:r>
              <w:t xml:space="preserve">$480.11</w:t>
            </w:r>
          </w:p>
        </w:tc>
        <w:tc>
          <w:tcPr/>
          <w:p>
            <w:pPr>
              <w:pStyle w:val="Compact"/>
            </w:pPr>
            <w:r>
              <w:t xml:space="preserve">-33.5%</w:t>
            </w:r>
          </w:p>
        </w:tc>
      </w:tr>
      <w:tr>
        <w:tc>
          <w:tcPr/>
          <w:p>
            <w:pPr>
              <w:pStyle w:val="Compact"/>
            </w:pPr>
            <w:r>
              <w:t xml:space="preserve">Bull</w:t>
            </w:r>
          </w:p>
        </w:tc>
        <w:tc>
          <w:tcPr/>
          <w:p>
            <w:pPr>
              <w:pStyle w:val="Compact"/>
            </w:pPr>
            <w:r>
              <w:t xml:space="preserve">14.5%</w:t>
            </w:r>
          </w:p>
        </w:tc>
        <w:tc>
          <w:tcPr/>
          <w:p>
            <w:pPr>
              <w:pStyle w:val="Compact"/>
            </w:pPr>
            <w:r>
              <w:t xml:space="preserve">6.9%</w:t>
            </w:r>
          </w:p>
        </w:tc>
        <w:tc>
          <w:tcPr/>
          <w:p>
            <w:pPr>
              <w:pStyle w:val="Compact"/>
            </w:pPr>
            <w:r>
              <w:t xml:space="preserve">10.2%</w:t>
            </w:r>
          </w:p>
        </w:tc>
        <w:tc>
          <w:tcPr/>
          <w:p>
            <w:pPr>
              <w:pStyle w:val="Compact"/>
            </w:pPr>
            <w:r>
              <w:t xml:space="preserve">3.5%</w:t>
            </w:r>
          </w:p>
        </w:tc>
        <w:tc>
          <w:tcPr/>
          <w:p>
            <w:pPr>
              <w:pStyle w:val="Compact"/>
            </w:pPr>
            <w:r>
              <w:t xml:space="preserve">25.0%</w:t>
            </w:r>
          </w:p>
        </w:tc>
        <w:tc>
          <w:tcPr/>
          <w:p>
            <w:pPr>
              <w:pStyle w:val="Compact"/>
            </w:pPr>
            <w:r>
              <w:t xml:space="preserve">$704.49</w:t>
            </w:r>
          </w:p>
        </w:tc>
        <w:tc>
          <w:tcPr/>
          <w:p>
            <w:pPr>
              <w:pStyle w:val="Compact"/>
            </w:pPr>
            <w:r>
              <w:t xml:space="preserve">-2.4%</w:t>
            </w:r>
          </w:p>
        </w:tc>
      </w:tr>
    </w:tbl>
    <w:p>
      <w:pPr>
        <w:pStyle w:val="BodyText"/>
      </w:pPr>
      <w:r>
        <w:rPr>
          <w:rFonts w:hint="eastAsia"/>
        </w:rPr>
        <w:t xml:space="preserve">概率加权价值</w:t>
      </w:r>
      <w:r>
        <w:t xml:space="preserve"> </w:t>
      </w:r>
      <w:r>
        <w:rPr>
          <w:b/>
          <w:bCs/>
        </w:rPr>
        <w:t xml:space="preserve">$484.77</w:t>
      </w:r>
      <w:r>
        <w:rPr>
          <w:rFonts w:hint="eastAsia"/>
        </w:rPr>
        <w:t xml:space="preserve">（相对现价</w:t>
      </w:r>
      <w:r>
        <w:t xml:space="preserve"> </w:t>
      </w:r>
      <w:r>
        <w:rPr>
          <w:rFonts w:hint="eastAsia"/>
        </w:rPr>
        <w:t xml:space="preserve">-32.8%）。</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20.8 bn </w:t>
      </w:r>
      <w:r>
        <w:rPr>
          <w:rFonts w:hint="eastAsia"/>
        </w:rPr>
        <w:t xml:space="preserve">USD；终值占比</w:t>
      </w:r>
      <w:r>
        <w:t xml:space="preserve"> 51.3%。</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21.9%</w:t>
      </w:r>
      <w:r>
        <w:rPr>
          <w:rFonts w:hint="eastAsia"/>
        </w:rPr>
        <w:t xml:space="preserve">；一致预期FY+1增速</w:t>
      </w:r>
      <w:r>
        <w:t xml:space="preserve"> 11.1%。</w:t>
      </w:r>
    </w:p>
    <w:p>
      <w:pPr>
        <w:numPr>
          <w:ilvl w:val="0"/>
          <w:numId w:val="1005"/>
        </w:numPr>
      </w:pPr>
      <w:r>
        <w:t xml:space="preserve">WACC (CAPM) = rf 5.1% + β 1.12 × ERP 5.0% = 10.7%。</w:t>
      </w:r>
    </w:p>
    <w:p>
      <w:pPr>
        <w:numPr>
          <w:ilvl w:val="0"/>
          <w:numId w:val="1005"/>
        </w:numPr>
      </w:pPr>
      <w:r>
        <w:t xml:space="preserve">SOTP segments </w:t>
      </w:r>
      <w:r>
        <w:rPr>
          <w:rFonts w:hint="eastAsia"/>
        </w:rPr>
        <w:t xml:space="preserve">分部:</w:t>
      </w:r>
      <w:r>
        <w:t xml:space="preserve"> US Electrical construction </w:t>
      </w:r>
      <w:r>
        <w:rPr>
          <w:rFonts w:hint="eastAsia"/>
        </w:rPr>
        <w:t xml:space="preserve">电气;</w:t>
      </w:r>
      <w:r>
        <w:t xml:space="preserve"> US Mechanical construction </w:t>
      </w:r>
      <w:r>
        <w:rPr>
          <w:rFonts w:hint="eastAsia"/>
        </w:rPr>
        <w:t xml:space="preserve">机械;</w:t>
      </w:r>
      <w:r>
        <w:t xml:space="preserve"> US Building services </w:t>
      </w:r>
      <w:r>
        <w:rPr>
          <w:rFonts w:hint="eastAsia"/>
        </w:rPr>
        <w:t xml:space="preserve">楼宇服务;</w:t>
      </w:r>
      <w:r>
        <w:t xml:space="preserve"> UK.</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EME | 31.8 bn USD | 1.7x | 19.3x | 19.8% | 19.4% | 3.7% |</w:t>
      </w:r>
      <w:r>
        <w:t xml:space="preserve"> </w:t>
      </w:r>
      <w:r>
        <w:t xml:space="preserve">| PWR | 95.0 bn USD | 3.1x | 31.8x | 41.1% | 15.5% | 2.1% |</w:t>
      </w:r>
      <w:r>
        <w:t xml:space="preserve"> </w:t>
      </w:r>
      <w:r>
        <w:t xml:space="preserve">| FIX | 50.6 bn USD | 4.4x | 23.9x | 50.3% | 25.7% | 3.6% |</w:t>
      </w:r>
      <w:r>
        <w:t xml:space="preserve"> </w:t>
      </w:r>
      <w:r>
        <w:t xml:space="preserve">| MYRG | 4.4 bn USD | 1.1x | 19.2x | 20.1% | 12.5% | 4.1% |</w:t>
      </w:r>
      <w:r>
        <w:t xml:space="preserve"> </w:t>
      </w:r>
      <w:r>
        <w:t xml:space="preserve">| STRL | 13.0 bn USD | 3.7x | 16.4x | 90.1% | 23.8% | 2.7%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DC project timing pushouts; labor cost </w:t>
      </w:r>
      <w:r>
        <w:rPr>
          <w:rFonts w:hint="eastAsia"/>
        </w:rPr>
        <w:t xml:space="preserve">inflation｜数据中心项目延后；人工成本</w:t>
      </w:r>
    </w:p>
    <w:p>
      <w:pPr>
        <w:pStyle w:val="Compact"/>
        <w:numPr>
          <w:ilvl w:val="0"/>
          <w:numId w:val="1006"/>
        </w:numPr>
      </w:pPr>
      <w:r>
        <w:rPr>
          <w:rFonts w:hint="eastAsia"/>
        </w:rPr>
        <w:t xml:space="preserve">证伪指标:</w:t>
      </w:r>
      <w:r>
        <w:t xml:space="preserve"> RPO declines; op margin </w:t>
      </w:r>
      <w:r>
        <w:rPr>
          <w:rFonts w:hint="eastAsia"/>
        </w:rPr>
        <w:t xml:space="preserve">&lt;8%｜RPO下降；营业利润率&lt;8%</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721.7</w:t>
            </w:r>
          </w:p>
        </w:tc>
        <w:tc>
          <w:tcPr/>
          <w:p>
            <w:pPr>
              <w:pStyle w:val="Compact"/>
            </w:pPr>
            <w:r>
              <w:t xml:space="preserve">Yahoo Finance quote, fetched 2026-10-17T07:55 SGT</w:t>
            </w:r>
          </w:p>
        </w:tc>
      </w:tr>
      <w:tr>
        <w:tc>
          <w:tcPr/>
          <w:p>
            <w:pPr>
              <w:pStyle w:val="Compact"/>
            </w:pPr>
            <w:r>
              <w:t xml:space="preserve">Market cap </w:t>
            </w:r>
            <w:r>
              <w:rPr>
                <w:rFonts w:hint="eastAsia"/>
              </w:rPr>
              <w:t xml:space="preserve">市值</w:t>
            </w:r>
          </w:p>
        </w:tc>
        <w:tc>
          <w:tcPr/>
          <w:p>
            <w:pPr>
              <w:pStyle w:val="Compact"/>
            </w:pPr>
            <w:r>
              <w:t xml:space="preserve">3.183e+10</w:t>
            </w:r>
          </w:p>
        </w:tc>
        <w:tc>
          <w:tcPr/>
          <w:p>
            <w:pPr>
              <w:pStyle w:val="Compact"/>
            </w:pPr>
            <w:r>
              <w:t xml:space="preserve">Yahoo info.marketCap 2026-10-17T07:55</w:t>
            </w:r>
          </w:p>
        </w:tc>
      </w:tr>
      <w:tr>
        <w:tc>
          <w:tcPr/>
          <w:p>
            <w:pPr>
              <w:pStyle w:val="Compact"/>
            </w:pPr>
            <w:r>
              <w:t xml:space="preserve">Cash </w:t>
            </w:r>
            <w:r>
              <w:rPr>
                <w:rFonts w:hint="eastAsia"/>
              </w:rPr>
              <w:t xml:space="preserve">现金</w:t>
            </w:r>
          </w:p>
        </w:tc>
        <w:tc>
          <w:tcPr/>
          <w:p>
            <w:pPr>
              <w:pStyle w:val="Compact"/>
            </w:pPr>
            <w:r>
              <w:t xml:space="preserve">9.244e+08</w:t>
            </w:r>
          </w:p>
        </w:tc>
        <w:tc>
          <w:tcPr/>
          <w:p>
            <w:pPr>
              <w:pStyle w:val="Compact"/>
            </w:pPr>
            <w:r>
              <w:t xml:space="preserve">Yahoo info.totalCash (latest filing) 2026-10-17T07:55</w:t>
            </w:r>
          </w:p>
        </w:tc>
      </w:tr>
      <w:tr>
        <w:tc>
          <w:tcPr/>
          <w:p>
            <w:pPr>
              <w:pStyle w:val="Compact"/>
            </w:pPr>
            <w:r>
              <w:t xml:space="preserve">Debt </w:t>
            </w:r>
            <w:r>
              <w:rPr>
                <w:rFonts w:hint="eastAsia"/>
              </w:rPr>
              <w:t xml:space="preserve">负债</w:t>
            </w:r>
          </w:p>
        </w:tc>
        <w:tc>
          <w:tcPr/>
          <w:p>
            <w:pPr>
              <w:pStyle w:val="Compact"/>
            </w:pPr>
            <w:r>
              <w:t xml:space="preserve">5.48e+08</w:t>
            </w:r>
          </w:p>
        </w:tc>
        <w:tc>
          <w:tcPr/>
          <w:p>
            <w:pPr>
              <w:pStyle w:val="Compact"/>
            </w:pPr>
            <w:r>
              <w:t xml:space="preserve">Yahoo info.totalDebt (latest filing) 2026-10-17T07:55</w:t>
            </w:r>
          </w:p>
        </w:tc>
      </w:tr>
      <w:tr>
        <w:tc>
          <w:tcPr/>
          <w:p>
            <w:pPr>
              <w:pStyle w:val="Compact"/>
            </w:pPr>
            <w:r>
              <w:t xml:space="preserve">Revenue TTM </w:t>
            </w:r>
            <w:r>
              <w:rPr>
                <w:rFonts w:hint="eastAsia"/>
              </w:rPr>
              <w:t xml:space="preserve">收入</w:t>
            </w:r>
          </w:p>
        </w:tc>
        <w:tc>
          <w:tcPr/>
          <w:p>
            <w:pPr>
              <w:pStyle w:val="Compact"/>
            </w:pPr>
            <w:r>
              <w:t xml:space="preserve">1.86e+10</w:t>
            </w:r>
          </w:p>
        </w:tc>
        <w:tc>
          <w:tcPr/>
          <w:p>
            <w:pPr>
              <w:pStyle w:val="Compact"/>
            </w:pPr>
            <w:r>
              <w:t xml:space="preserve">Yahoo info.totalRevenue (TTM, USD) 2026-10-17T07:55</w:t>
            </w:r>
          </w:p>
        </w:tc>
      </w:tr>
      <w:tr>
        <w:tc>
          <w:tcPr/>
          <w:p>
            <w:pPr>
              <w:pStyle w:val="Compact"/>
            </w:pPr>
            <w:r>
              <w:t xml:space="preserve">FCF TTM </w:t>
            </w:r>
            <w:r>
              <w:rPr>
                <w:rFonts w:hint="eastAsia"/>
              </w:rPr>
              <w:t xml:space="preserve">自由现金流</w:t>
            </w:r>
          </w:p>
        </w:tc>
        <w:tc>
          <w:tcPr/>
          <w:p>
            <w:pPr>
              <w:pStyle w:val="Compact"/>
            </w:pPr>
            <w:r>
              <w:t xml:space="preserve">1.171e+09</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1.119</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0.051</w:t>
            </w:r>
          </w:p>
        </w:tc>
        <w:tc>
          <w:tcPr/>
          <w:p>
            <w:pPr>
              <w:pStyle w:val="Compact"/>
            </w:pPr>
            <w:r>
              <w:t xml:space="preserve">FRED DGS10 2026-10-15</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0.1972</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0.1115</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1.12</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0.1115</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0.06299</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0.06</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EME_model_v20261017-0755.xlsx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data/snapshots/20261017-0755</w:t>
      </w:r>
      <w:r>
        <w:t xml:space="preserve"> </w:t>
      </w:r>
      <w:r>
        <w:t xml:space="preserve">(immutable) | Fetched 2026-10-17 07:55 SGT | Generated 2026-10-17 07:57 SGT</w:t>
      </w:r>
    </w:p>
    <w:p>
      <w:pPr>
        <w:pStyle w:val="Compact"/>
        <w:numPr>
          <w:ilvl w:val="0"/>
          <w:numId w:val="1007"/>
        </w:numPr>
      </w:pPr>
      <w:r>
        <w:t xml:space="preserve">Version: v20261017-0755.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v20261017-0755: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2026-10-29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EME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EME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EME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EME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EME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fb7dbfc9c5c3ab7fa99e1737c002f297f92df37"/>
    <w:p>
      <w:pPr>
        <w:pStyle w:val="Heading1"/>
      </w:pPr>
      <w:r>
        <w:t xml:space="preserve">EME EMCOR Group, Inc. — Equity Deep Dive (Professional English) v20261017-0755</w:t>
      </w:r>
    </w:p>
    <w:p>
      <w:pPr>
        <w:pStyle w:val="BlockText"/>
      </w:pPr>
      <w:r>
        <w:t xml:space="preserve">Data as of 2026-10-17 07:55 SGT | Price $721.66 | Mkt cap 31.8 bn USD | Reporting currency USD | Not investment advice.</w:t>
      </w:r>
    </w:p>
    <w:bookmarkStart w:id="39" w:name="investment-thesis-hypothesis"/>
    <w:p>
      <w:pPr>
        <w:pStyle w:val="Heading2"/>
      </w:pPr>
      <w:r>
        <w:t xml:space="preserve">1. Investment thesis (HYPOTHESIS)</w:t>
      </w:r>
    </w:p>
    <w:p>
      <w:pPr>
        <w:pStyle w:val="FirstParagraph"/>
      </w:pPr>
      <w:r>
        <w:t xml:space="preserve">EMCOR converts AI data-center and reshoring demand into high-visibility RPO, with strong execution and stable margins.</w:t>
      </w:r>
    </w:p>
    <w:p>
      <w:pPr>
        <w:pStyle w:val="Compact"/>
        <w:numPr>
          <w:ilvl w:val="0"/>
          <w:numId w:val="1009"/>
        </w:numPr>
      </w:pPr>
      <w:r>
        <w:rPr>
          <w:b/>
          <w:bCs/>
        </w:rPr>
        <w:t xml:space="preserve">Bull drivers</w:t>
      </w:r>
      <w:r>
        <w:t xml:space="preserve">: RPO keeps growing; margin expands with </w:t>
      </w:r>
      <w:r>
        <w:rPr>
          <w:rFonts w:hint="eastAsia"/>
        </w:rPr>
        <w:t xml:space="preserve">prefab｜RPO持续增长；预制化提升利润率</w:t>
      </w:r>
    </w:p>
    <w:p>
      <w:pPr>
        <w:pStyle w:val="Compact"/>
        <w:numPr>
          <w:ilvl w:val="0"/>
          <w:numId w:val="1009"/>
        </w:numPr>
      </w:pPr>
      <w:r>
        <w:rPr>
          <w:b/>
          <w:bCs/>
        </w:rPr>
        <w:t xml:space="preserve">Bear drivers</w:t>
      </w:r>
      <w:r>
        <w:t xml:space="preserve">: DC project timing pushouts; labor cost </w:t>
      </w:r>
      <w:r>
        <w:rPr>
          <w:rFonts w:hint="eastAsia"/>
        </w:rPr>
        <w:t xml:space="preserve">inflation｜数据中心项目延后；人工成本</w:t>
      </w:r>
    </w:p>
    <w:p>
      <w:pPr>
        <w:pStyle w:val="Compact"/>
        <w:numPr>
          <w:ilvl w:val="0"/>
          <w:numId w:val="1009"/>
        </w:numPr>
      </w:pPr>
      <w:r>
        <w:rPr>
          <w:b/>
          <w:bCs/>
        </w:rPr>
        <w:t xml:space="preserve">Falsifiers</w:t>
      </w:r>
      <w:r>
        <w:t xml:space="preserve">: RPO declines; op margin </w:t>
      </w:r>
      <w:r>
        <w:rPr>
          <w:rFonts w:hint="eastAsia"/>
        </w:rPr>
        <w:t xml:space="preserve">&lt;8%｜RPO下降；营业利润率&lt;8%</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Electrical/mechanical contractor (DC build) </w:t>
      </w:r>
      <w:r>
        <w:rPr>
          <w:rFonts w:hint="eastAsia"/>
        </w:rPr>
        <w:t xml:space="preserve">机电工程(数据中心建设)</w:t>
      </w:r>
      <w:r>
        <w:t xml:space="preserve"> | Segments: US Electrical construction </w:t>
      </w:r>
      <w:r>
        <w:rPr>
          <w:rFonts w:hint="eastAsia"/>
        </w:rPr>
        <w:t xml:space="preserve">电气;</w:t>
      </w:r>
      <w:r>
        <w:t xml:space="preserve"> US Mechanical construction </w:t>
      </w:r>
      <w:r>
        <w:rPr>
          <w:rFonts w:hint="eastAsia"/>
        </w:rPr>
        <w:t xml:space="preserve">机械;</w:t>
      </w:r>
      <w:r>
        <w:t xml:space="preserve"> US Building services </w:t>
      </w:r>
      <w:r>
        <w:rPr>
          <w:rFonts w:hint="eastAsia"/>
        </w:rPr>
        <w:t xml:space="preserve">楼宇服务;</w:t>
      </w:r>
      <w:r>
        <w:t xml:space="preserve"> UK</w:t>
      </w:r>
    </w:p>
    <w:p>
      <w:pPr>
        <w:pStyle w:val="Compact"/>
        <w:numPr>
          <w:ilvl w:val="0"/>
          <w:numId w:val="1010"/>
        </w:numPr>
      </w:pPr>
      <w:r>
        <w:t xml:space="preserve">Business description (DATA): EMCOR Group, Inc. provides electrical and mechanical construction and facilities, building, and industrial services in the United States and the United Kingdom. It offers design, integration, installation, startup, operation, and maintenance services related to power transmission, distribution, and generation systems; energy solutions; premises electrical and lighting systems; process instrumentation; low-voltage systems; voice and data communications systems; roadway and transit lighting, signaling, and fiber optic lines; computerized traffic control systems, and signal and communication equipment; heating, ventilation, air conditioning, refrigeration, and geothermal solutions; clean-room process ventilation systems; fire protection and suppression systems; plumbing, process, and piping systems; control and filtration systems; water and wastewater treatment systems; central plant heatin</w:t>
      </w:r>
    </w:p>
    <w:p>
      <w:pPr>
        <w:pStyle w:val="Compact"/>
        <w:numPr>
          <w:ilvl w:val="0"/>
          <w:numId w:val="1010"/>
        </w:numPr>
      </w:pPr>
      <w:r>
        <w:t xml:space="preserve">Customers: Data-center developers, manufacturing (semis/pharma), healthcare, </w:t>
      </w:r>
      <w:r>
        <w:rPr>
          <w:rFonts w:hint="eastAsia"/>
        </w:rPr>
        <w:t xml:space="preserve">institutional｜数据中心开发商、制造业、医疗、机构</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Skilled labor, electrical gear (switchgear, transformers), HVAC </w:t>
      </w:r>
      <w:r>
        <w:rPr>
          <w:rFonts w:hint="eastAsia"/>
        </w:rPr>
        <w:t xml:space="preserve">equipment｜技术工人、电气设备、暖通设备</w:t>
      </w:r>
    </w:p>
    <w:p>
      <w:pPr>
        <w:pStyle w:val="Compact"/>
        <w:numPr>
          <w:ilvl w:val="0"/>
          <w:numId w:val="1011"/>
        </w:numPr>
      </w:pPr>
      <w:r>
        <w:t xml:space="preserve">Competitors: Quanta, MYR, Comfort Systems, private </w:t>
      </w:r>
      <w:r>
        <w:rPr>
          <w:rFonts w:hint="eastAsia"/>
        </w:rPr>
        <w:t xml:space="preserve">contractors｜Quanta、MYR、Comfort</w:t>
      </w:r>
      <w:r>
        <w:t xml:space="preserve"> Systems</w:t>
      </w:r>
    </w:p>
    <w:p>
      <w:pPr>
        <w:pStyle w:val="Compact"/>
        <w:numPr>
          <w:ilvl w:val="0"/>
          <w:numId w:val="1011"/>
        </w:numPr>
      </w:pPr>
      <w:r>
        <w:t xml:space="preserve">Bottlenecks/regulation: Skilled labor, equipment lead </w:t>
      </w:r>
      <w:r>
        <w:rPr>
          <w:rFonts w:hint="eastAsia"/>
        </w:rPr>
        <w:t xml:space="preserve">times｜技术工人、设备交期</w:t>
      </w:r>
    </w:p>
    <w:p>
      <w:pPr>
        <w:pStyle w:val="Compact"/>
        <w:numPr>
          <w:ilvl w:val="0"/>
          <w:numId w:val="1011"/>
        </w:numPr>
      </w:pPr>
      <w:r>
        <w:t xml:space="preserve">KPIs: RPO, op margin, network &amp; communications sector </w:t>
      </w:r>
      <w:r>
        <w:rPr>
          <w:rFonts w:hint="eastAsia"/>
        </w:rPr>
        <w:t xml:space="preserve">revenue｜RPO、营业利润率、网络通信行业收入</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5.2 bn USD</w:t>
            </w:r>
          </w:p>
        </w:tc>
        <w:tc>
          <w:tcPr/>
          <w:p>
            <w:pPr>
              <w:pStyle w:val="Compact"/>
            </w:pPr>
            <w:r>
              <w:t xml:space="preserve">1.0 bn USD</w:t>
            </w:r>
          </w:p>
        </w:tc>
        <w:tc>
          <w:tcPr/>
          <w:p>
            <w:pPr>
              <w:pStyle w:val="Compact"/>
            </w:pPr>
            <w:r>
              <w:t xml:space="preserve">0.5 bn USD</w:t>
            </w:r>
          </w:p>
        </w:tc>
        <w:tc>
          <w:tcPr/>
          <w:p>
            <w:pPr>
              <w:pStyle w:val="Compact"/>
            </w:pPr>
            <w:r>
              <w:t xml:space="preserve">0.4 bn USD</w:t>
            </w:r>
          </w:p>
        </w:tc>
        <w:tc>
          <w:tcPr/>
          <w:p>
            <w:pPr>
              <w:pStyle w:val="Compact"/>
            </w:pPr>
            <w:r>
              <w:t xml:space="preserve">0.3 bn USD</w:t>
            </w:r>
          </w:p>
        </w:tc>
        <w:tc>
          <w:tcPr/>
          <w:p>
            <w:pPr>
              <w:pStyle w:val="Compact"/>
            </w:pPr>
            <w:r>
              <w:t xml:space="preserve">10.6%</w:t>
            </w:r>
          </w:p>
        </w:tc>
      </w:tr>
      <w:tr>
        <w:tc>
          <w:tcPr/>
          <w:p>
            <w:pPr>
              <w:pStyle w:val="Compact"/>
            </w:pPr>
            <w:r>
              <w:t xml:space="preserve">2026-03-31</w:t>
            </w:r>
          </w:p>
        </w:tc>
        <w:tc>
          <w:tcPr/>
          <w:p>
            <w:pPr>
              <w:pStyle w:val="Compact"/>
            </w:pPr>
            <w:r>
              <w:t xml:space="preserve">4.6 bn USD</w:t>
            </w:r>
          </w:p>
        </w:tc>
        <w:tc>
          <w:tcPr/>
          <w:p>
            <w:pPr>
              <w:pStyle w:val="Compact"/>
            </w:pPr>
            <w:r>
              <w:t xml:space="preserve">0.9 bn USD</w:t>
            </w:r>
          </w:p>
        </w:tc>
        <w:tc>
          <w:tcPr/>
          <w:p>
            <w:pPr>
              <w:pStyle w:val="Compact"/>
            </w:pPr>
            <w:r>
              <w:t xml:space="preserve">0.4 bn USD</w:t>
            </w:r>
          </w:p>
        </w:tc>
        <w:tc>
          <w:tcPr/>
          <w:p>
            <w:pPr>
              <w:pStyle w:val="Compact"/>
            </w:pPr>
            <w:r>
              <w:t xml:space="preserve">0.3 bn USD</w:t>
            </w:r>
          </w:p>
        </w:tc>
        <w:tc>
          <w:tcPr/>
          <w:p>
            <w:pPr>
              <w:pStyle w:val="Compact"/>
            </w:pPr>
            <w:r>
              <w:t xml:space="preserve">-28.2 mn USD</w:t>
            </w:r>
          </w:p>
        </w:tc>
        <w:tc>
          <w:tcPr/>
          <w:p>
            <w:pPr>
              <w:pStyle w:val="Compact"/>
            </w:pPr>
            <w:r>
              <w:t xml:space="preserve">8.7%</w:t>
            </w:r>
          </w:p>
        </w:tc>
      </w:tr>
      <w:tr>
        <w:tc>
          <w:tcPr/>
          <w:p>
            <w:pPr>
              <w:pStyle w:val="Compact"/>
            </w:pPr>
            <w:r>
              <w:t xml:space="preserve">2025-12-31</w:t>
            </w:r>
          </w:p>
        </w:tc>
        <w:tc>
          <w:tcPr/>
          <w:p>
            <w:pPr>
              <w:pStyle w:val="Compact"/>
            </w:pPr>
            <w:r>
              <w:t xml:space="preserve">4.5 bn USD</w:t>
            </w:r>
          </w:p>
        </w:tc>
        <w:tc>
          <w:tcPr/>
          <w:p>
            <w:pPr>
              <w:pStyle w:val="Compact"/>
            </w:pPr>
            <w:r>
              <w:t xml:space="preserve">0.9 bn USD</w:t>
            </w:r>
          </w:p>
        </w:tc>
        <w:tc>
          <w:tcPr/>
          <w:p>
            <w:pPr>
              <w:pStyle w:val="Compact"/>
            </w:pPr>
            <w:r>
              <w:t xml:space="preserve">0.4 bn USD</w:t>
            </w:r>
          </w:p>
        </w:tc>
        <w:tc>
          <w:tcPr/>
          <w:p>
            <w:pPr>
              <w:pStyle w:val="Compact"/>
            </w:pPr>
            <w:r>
              <w:t xml:space="preserve">0.4 bn USD</w:t>
            </w:r>
          </w:p>
        </w:tc>
        <w:tc>
          <w:tcPr/>
          <w:p>
            <w:pPr>
              <w:pStyle w:val="Compact"/>
            </w:pPr>
            <w:r>
              <w:t xml:space="preserve">0.5 bn USD</w:t>
            </w:r>
          </w:p>
        </w:tc>
        <w:tc>
          <w:tcPr/>
          <w:p>
            <w:pPr>
              <w:pStyle w:val="Compact"/>
            </w:pPr>
            <w:r>
              <w:t xml:space="preserve">9.5%</w:t>
            </w:r>
          </w:p>
        </w:tc>
      </w:tr>
      <w:tr>
        <w:tc>
          <w:tcPr/>
          <w:p>
            <w:pPr>
              <w:pStyle w:val="Compact"/>
            </w:pPr>
            <w:r>
              <w:t xml:space="preserve">2025-09-30</w:t>
            </w:r>
          </w:p>
        </w:tc>
        <w:tc>
          <w:tcPr/>
          <w:p>
            <w:pPr>
              <w:pStyle w:val="Compact"/>
            </w:pPr>
            <w:r>
              <w:t xml:space="preserve">4.3 bn USD</w:t>
            </w:r>
          </w:p>
        </w:tc>
        <w:tc>
          <w:tcPr/>
          <w:p>
            <w:pPr>
              <w:pStyle w:val="Compact"/>
            </w:pPr>
            <w:r>
              <w:t xml:space="preserve">0.8 bn USD</w:t>
            </w:r>
          </w:p>
        </w:tc>
        <w:tc>
          <w:tcPr/>
          <w:p>
            <w:pPr>
              <w:pStyle w:val="Compact"/>
            </w:pPr>
            <w:r>
              <w:t xml:space="preserve">0.4 bn USD</w:t>
            </w:r>
          </w:p>
        </w:tc>
        <w:tc>
          <w:tcPr/>
          <w:p>
            <w:pPr>
              <w:pStyle w:val="Compact"/>
            </w:pPr>
            <w:r>
              <w:t xml:space="preserve">0.3 bn USD</w:t>
            </w:r>
          </w:p>
        </w:tc>
        <w:tc>
          <w:tcPr/>
          <w:p>
            <w:pPr>
              <w:pStyle w:val="Compact"/>
            </w:pPr>
            <w:r>
              <w:t xml:space="preserve">0.4 bn USD</w:t>
            </w:r>
          </w:p>
        </w:tc>
        <w:tc>
          <w:tcPr/>
          <w:p>
            <w:pPr>
              <w:pStyle w:val="Compact"/>
            </w:pPr>
            <w:r>
              <w:t xml:space="preserve">9.4%</w:t>
            </w:r>
          </w:p>
        </w:tc>
      </w:tr>
      <w:tr>
        <w:tc>
          <w:tcPr/>
          <w:p>
            <w:pPr>
              <w:pStyle w:val="Compact"/>
            </w:pPr>
            <w:r>
              <w:t xml:space="preserve">2025-06-30</w:t>
            </w:r>
          </w:p>
        </w:tc>
        <w:tc>
          <w:tcPr/>
          <w:p>
            <w:pPr>
              <w:pStyle w:val="Compact"/>
            </w:pPr>
            <w:r>
              <w:t xml:space="preserve">4.3 bn USD</w:t>
            </w:r>
          </w:p>
        </w:tc>
        <w:tc>
          <w:tcPr/>
          <w:p>
            <w:pPr>
              <w:pStyle w:val="Compact"/>
            </w:pPr>
            <w:r>
              <w:t xml:space="preserve">0.8 bn USD</w:t>
            </w:r>
          </w:p>
        </w:tc>
        <w:tc>
          <w:tcPr/>
          <w:p>
            <w:pPr>
              <w:pStyle w:val="Compact"/>
            </w:pPr>
            <w:r>
              <w:t xml:space="preserve">0.4 bn USD</w:t>
            </w:r>
          </w:p>
        </w:tc>
        <w:tc>
          <w:tcPr/>
          <w:p>
            <w:pPr>
              <w:pStyle w:val="Compact"/>
            </w:pPr>
            <w:r>
              <w:t xml:space="preserve">0.3 bn USD</w:t>
            </w:r>
          </w:p>
        </w:tc>
        <w:tc>
          <w:tcPr/>
          <w:p>
            <w:pPr>
              <w:pStyle w:val="Compact"/>
            </w:pPr>
            <w:r>
              <w:t xml:space="preserve">0.2 bn USD</w:t>
            </w:r>
          </w:p>
        </w:tc>
        <w:tc>
          <w:tcPr/>
          <w:p>
            <w:pPr>
              <w:pStyle w:val="Compact"/>
            </w:pPr>
            <w:r>
              <w:t xml:space="preserve">9.6%</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0.9 bn USD; debt 0.5 bn USD; TTM FCF 1.2 bn USD (FCF margin 6.3%).</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6.57</w:t>
            </w:r>
          </w:p>
        </w:tc>
        <w:tc>
          <w:tcPr/>
          <w:p>
            <w:pPr>
              <w:pStyle w:val="Compact"/>
            </w:pPr>
            <w:r>
              <w:t xml:space="preserve">6.5275</w:t>
            </w:r>
          </w:p>
        </w:tc>
        <w:tc>
          <w:tcPr/>
          <w:p>
            <w:pPr>
              <w:pStyle w:val="Compact"/>
            </w:pPr>
            <w:r>
              <w:t xml:space="preserve">0.0064999997</w:t>
            </w:r>
          </w:p>
        </w:tc>
      </w:tr>
      <w:tr>
        <w:tc>
          <w:tcPr/>
          <w:p>
            <w:pPr>
              <w:pStyle w:val="Compact"/>
            </w:pPr>
            <w:r>
              <w:t xml:space="preserve">2025-12-31</w:t>
            </w:r>
          </w:p>
        </w:tc>
        <w:tc>
          <w:tcPr/>
          <w:p>
            <w:pPr>
              <w:pStyle w:val="Compact"/>
            </w:pPr>
            <w:r>
              <w:t xml:space="preserve">7.19</w:t>
            </w:r>
          </w:p>
        </w:tc>
        <w:tc>
          <w:tcPr/>
          <w:p>
            <w:pPr>
              <w:pStyle w:val="Compact"/>
            </w:pPr>
            <w:r>
              <w:t xml:space="preserve">6.68125</w:t>
            </w:r>
          </w:p>
        </w:tc>
        <w:tc>
          <w:tcPr/>
          <w:p>
            <w:pPr>
              <w:pStyle w:val="Compact"/>
            </w:pPr>
            <w:r>
              <w:t xml:space="preserve">0.0761</w:t>
            </w:r>
          </w:p>
        </w:tc>
      </w:tr>
      <w:tr>
        <w:tc>
          <w:tcPr/>
          <w:p>
            <w:pPr>
              <w:pStyle w:val="Compact"/>
            </w:pPr>
            <w:r>
              <w:t xml:space="preserve">2026-03-31</w:t>
            </w:r>
          </w:p>
        </w:tc>
        <w:tc>
          <w:tcPr/>
          <w:p>
            <w:pPr>
              <w:pStyle w:val="Compact"/>
            </w:pPr>
            <w:r>
              <w:t xml:space="preserve">6.84</w:t>
            </w:r>
          </w:p>
        </w:tc>
        <w:tc>
          <w:tcPr/>
          <w:p>
            <w:pPr>
              <w:pStyle w:val="Compact"/>
            </w:pPr>
            <w:r>
              <w:t xml:space="preserve">5.90443</w:t>
            </w:r>
          </w:p>
        </w:tc>
        <w:tc>
          <w:tcPr/>
          <w:p>
            <w:pPr>
              <w:pStyle w:val="Compact"/>
            </w:pPr>
            <w:r>
              <w:t xml:space="preserve">0.1585</w:t>
            </w:r>
          </w:p>
        </w:tc>
      </w:tr>
      <w:tr>
        <w:tc>
          <w:tcPr/>
          <w:p>
            <w:pPr>
              <w:pStyle w:val="Compact"/>
            </w:pPr>
            <w:r>
              <w:t xml:space="preserve">2026-06-30</w:t>
            </w:r>
          </w:p>
        </w:tc>
        <w:tc>
          <w:tcPr/>
          <w:p>
            <w:pPr>
              <w:pStyle w:val="Compact"/>
            </w:pPr>
            <w:r>
              <w:t xml:space="preserve">9.06</w:t>
            </w:r>
          </w:p>
        </w:tc>
        <w:tc>
          <w:tcPr/>
          <w:p>
            <w:pPr>
              <w:pStyle w:val="Compact"/>
            </w:pPr>
            <w:r>
              <w:t xml:space="preserve">7.23108</w:t>
            </w:r>
          </w:p>
        </w:tc>
        <w:tc>
          <w:tcPr/>
          <w:p>
            <w:pPr>
              <w:pStyle w:val="Compact"/>
            </w:pPr>
            <w:r>
              <w:t xml:space="preserve">0.2529</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2026-10-29</w:t>
      </w:r>
      <w:r>
        <w:t xml:space="preserve">; current-quarter EPS consensus 8.3568 (10 analysts); revenue consensus 5.2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$387.76</w:t>
            </w:r>
          </w:p>
        </w:tc>
        <w:tc>
          <w:tcPr/>
          <w:p>
            <w:pPr>
              <w:pStyle w:val="Compact"/>
            </w:pPr>
            <w:r>
              <w:t xml:space="preserve">-46.3%</w:t>
            </w:r>
          </w:p>
        </w:tc>
      </w:tr>
      <w:tr>
        <w:tc>
          <w:tcPr/>
          <w:p>
            <w:pPr>
              <w:pStyle w:val="Compact"/>
            </w:pPr>
            <w:r>
              <w:t xml:space="preserve">2Q</w:t>
            </w:r>
          </w:p>
        </w:tc>
        <w:tc>
          <w:tcPr/>
          <w:p>
            <w:pPr>
              <w:pStyle w:val="Compact"/>
            </w:pPr>
            <w:r>
              <w:t xml:space="preserve">Base</w:t>
            </w:r>
          </w:p>
        </w:tc>
        <w:tc>
          <w:tcPr/>
          <w:p>
            <w:pPr>
              <w:pStyle w:val="Compact"/>
            </w:pPr>
            <w:r>
              <w:t xml:space="preserve">$737.04</w:t>
            </w:r>
          </w:p>
        </w:tc>
        <w:tc>
          <w:tcPr/>
          <w:p>
            <w:pPr>
              <w:pStyle w:val="Compact"/>
            </w:pPr>
            <w:r>
              <w:t xml:space="preserve">2.1%</w:t>
            </w:r>
          </w:p>
        </w:tc>
      </w:tr>
      <w:tr>
        <w:tc>
          <w:tcPr/>
          <w:p>
            <w:pPr>
              <w:pStyle w:val="Compact"/>
            </w:pPr>
            <w:r>
              <w:t xml:space="preserve">2Q</w:t>
            </w:r>
          </w:p>
        </w:tc>
        <w:tc>
          <w:tcPr/>
          <w:p>
            <w:pPr>
              <w:pStyle w:val="Compact"/>
            </w:pPr>
            <w:r>
              <w:t xml:space="preserve">Bull</w:t>
            </w:r>
          </w:p>
        </w:tc>
        <w:tc>
          <w:tcPr/>
          <w:p>
            <w:pPr>
              <w:pStyle w:val="Compact"/>
            </w:pPr>
            <w:r>
              <w:t xml:space="preserve">$1,123.96</w:t>
            </w:r>
          </w:p>
        </w:tc>
        <w:tc>
          <w:tcPr/>
          <w:p>
            <w:pPr>
              <w:pStyle w:val="Compact"/>
            </w:pPr>
            <w:r>
              <w:t xml:space="preserve">55.7%</w:t>
            </w:r>
          </w:p>
        </w:tc>
      </w:tr>
      <w:tr>
        <w:tc>
          <w:tcPr/>
          <w:p>
            <w:pPr>
              <w:pStyle w:val="Compact"/>
            </w:pPr>
            <w:r>
              <w:t xml:space="preserve">4Q</w:t>
            </w:r>
          </w:p>
        </w:tc>
        <w:tc>
          <w:tcPr/>
          <w:p>
            <w:pPr>
              <w:pStyle w:val="Compact"/>
            </w:pPr>
            <w:r>
              <w:t xml:space="preserve">Bear</w:t>
            </w:r>
          </w:p>
        </w:tc>
        <w:tc>
          <w:tcPr/>
          <w:p>
            <w:pPr>
              <w:pStyle w:val="Compact"/>
            </w:pPr>
            <w:r>
              <w:t xml:space="preserve">$367.32</w:t>
            </w:r>
          </w:p>
        </w:tc>
        <w:tc>
          <w:tcPr/>
          <w:p>
            <w:pPr>
              <w:pStyle w:val="Compact"/>
            </w:pPr>
            <w:r>
              <w:t xml:space="preserve">-49.1%</w:t>
            </w:r>
          </w:p>
        </w:tc>
      </w:tr>
      <w:tr>
        <w:tc>
          <w:tcPr/>
          <w:p>
            <w:pPr>
              <w:pStyle w:val="Compact"/>
            </w:pPr>
            <w:r>
              <w:t xml:space="preserve">4Q</w:t>
            </w:r>
          </w:p>
        </w:tc>
        <w:tc>
          <w:tcPr/>
          <w:p>
            <w:pPr>
              <w:pStyle w:val="Compact"/>
            </w:pPr>
            <w:r>
              <w:t xml:space="preserve">Base</w:t>
            </w:r>
          </w:p>
        </w:tc>
        <w:tc>
          <w:tcPr/>
          <w:p>
            <w:pPr>
              <w:pStyle w:val="Compact"/>
            </w:pPr>
            <w:r>
              <w:t xml:space="preserve">$734.62</w:t>
            </w:r>
          </w:p>
        </w:tc>
        <w:tc>
          <w:tcPr/>
          <w:p>
            <w:pPr>
              <w:pStyle w:val="Compact"/>
            </w:pPr>
            <w:r>
              <w:t xml:space="preserve">1.8%</w:t>
            </w:r>
          </w:p>
        </w:tc>
      </w:tr>
      <w:tr>
        <w:tc>
          <w:tcPr/>
          <w:p>
            <w:pPr>
              <w:pStyle w:val="Compact"/>
            </w:pPr>
            <w:r>
              <w:t xml:space="preserve">4Q</w:t>
            </w:r>
          </w:p>
        </w:tc>
        <w:tc>
          <w:tcPr/>
          <w:p>
            <w:pPr>
              <w:pStyle w:val="Compact"/>
            </w:pPr>
            <w:r>
              <w:t xml:space="preserve">Bull</w:t>
            </w:r>
          </w:p>
        </w:tc>
        <w:tc>
          <w:tcPr/>
          <w:p>
            <w:pPr>
              <w:pStyle w:val="Compact"/>
            </w:pPr>
            <w:r>
              <w:t xml:space="preserve">$1,155.69</w:t>
            </w:r>
          </w:p>
        </w:tc>
        <w:tc>
          <w:tcPr/>
          <w:p>
            <w:pPr>
              <w:pStyle w:val="Compact"/>
            </w:pPr>
            <w:r>
              <w:t xml:space="preserve">60.1%</w:t>
            </w:r>
          </w:p>
        </w:tc>
      </w:tr>
      <w:tr>
        <w:tc>
          <w:tcPr/>
          <w:p>
            <w:pPr>
              <w:pStyle w:val="Compact"/>
            </w:pPr>
            <w:r>
              <w:t xml:space="preserve">6Q</w:t>
            </w:r>
          </w:p>
        </w:tc>
        <w:tc>
          <w:tcPr/>
          <w:p>
            <w:pPr>
              <w:pStyle w:val="Compact"/>
            </w:pPr>
            <w:r>
              <w:t xml:space="preserve">Bear</w:t>
            </w:r>
          </w:p>
        </w:tc>
        <w:tc>
          <w:tcPr/>
          <w:p>
            <w:pPr>
              <w:pStyle w:val="Compact"/>
            </w:pPr>
            <w:r>
              <w:t xml:space="preserve">$347.72</w:t>
            </w:r>
          </w:p>
        </w:tc>
        <w:tc>
          <w:tcPr/>
          <w:p>
            <w:pPr>
              <w:pStyle w:val="Compact"/>
            </w:pPr>
            <w:r>
              <w:t xml:space="preserve">-51.8%</w:t>
            </w:r>
          </w:p>
        </w:tc>
      </w:tr>
      <w:tr>
        <w:tc>
          <w:tcPr/>
          <w:p>
            <w:pPr>
              <w:pStyle w:val="Compact"/>
            </w:pPr>
            <w:r>
              <w:t xml:space="preserve">6Q</w:t>
            </w:r>
          </w:p>
        </w:tc>
        <w:tc>
          <w:tcPr/>
          <w:p>
            <w:pPr>
              <w:pStyle w:val="Compact"/>
            </w:pPr>
            <w:r>
              <w:t xml:space="preserve">Base</w:t>
            </w:r>
          </w:p>
        </w:tc>
        <w:tc>
          <w:tcPr/>
          <w:p>
            <w:pPr>
              <w:pStyle w:val="Compact"/>
            </w:pPr>
            <w:r>
              <w:t xml:space="preserve">$732.21</w:t>
            </w:r>
          </w:p>
        </w:tc>
        <w:tc>
          <w:tcPr/>
          <w:p>
            <w:pPr>
              <w:pStyle w:val="Compact"/>
            </w:pPr>
            <w:r>
              <w:t xml:space="preserve">1.5%</w:t>
            </w:r>
          </w:p>
        </w:tc>
      </w:tr>
      <w:tr>
        <w:tc>
          <w:tcPr/>
          <w:p>
            <w:pPr>
              <w:pStyle w:val="Compact"/>
            </w:pPr>
            <w:r>
              <w:t xml:space="preserve">6Q</w:t>
            </w:r>
          </w:p>
        </w:tc>
        <w:tc>
          <w:tcPr/>
          <w:p>
            <w:pPr>
              <w:pStyle w:val="Compact"/>
            </w:pPr>
            <w:r>
              <w:t xml:space="preserve">Bull</w:t>
            </w:r>
          </w:p>
        </w:tc>
        <w:tc>
          <w:tcPr/>
          <w:p>
            <w:pPr>
              <w:pStyle w:val="Compact"/>
            </w:pPr>
            <w:r>
              <w:t xml:space="preserve">$1,188.27</w:t>
            </w:r>
          </w:p>
        </w:tc>
        <w:tc>
          <w:tcPr/>
          <w:p>
            <w:pPr>
              <w:pStyle w:val="Compact"/>
            </w:pPr>
            <w:r>
              <w:t xml:space="preserve">64.7%</w:t>
            </w:r>
          </w:p>
        </w:tc>
      </w:tr>
      <w:tr>
        <w:tc>
          <w:tcPr/>
          <w:p>
            <w:pPr>
              <w:pStyle w:val="Compact"/>
            </w:pPr>
            <w:r>
              <w:t xml:space="preserve">8Q</w:t>
            </w:r>
          </w:p>
        </w:tc>
        <w:tc>
          <w:tcPr/>
          <w:p>
            <w:pPr>
              <w:pStyle w:val="Compact"/>
            </w:pPr>
            <w:r>
              <w:t xml:space="preserve">Bear</w:t>
            </w:r>
          </w:p>
        </w:tc>
        <w:tc>
          <w:tcPr/>
          <w:p>
            <w:pPr>
              <w:pStyle w:val="Compact"/>
            </w:pPr>
            <w:r>
              <w:t xml:space="preserve">$328.93</w:t>
            </w:r>
          </w:p>
        </w:tc>
        <w:tc>
          <w:tcPr/>
          <w:p>
            <w:pPr>
              <w:pStyle w:val="Compact"/>
            </w:pPr>
            <w:r>
              <w:t xml:space="preserve">-54.4%</w:t>
            </w:r>
          </w:p>
        </w:tc>
      </w:tr>
      <w:tr>
        <w:tc>
          <w:tcPr/>
          <w:p>
            <w:pPr>
              <w:pStyle w:val="Compact"/>
            </w:pPr>
            <w:r>
              <w:t xml:space="preserve">8Q</w:t>
            </w:r>
          </w:p>
        </w:tc>
        <w:tc>
          <w:tcPr/>
          <w:p>
            <w:pPr>
              <w:pStyle w:val="Compact"/>
            </w:pPr>
            <w:r>
              <w:t xml:space="preserve">Base</w:t>
            </w:r>
          </w:p>
        </w:tc>
        <w:tc>
          <w:tcPr/>
          <w:p>
            <w:pPr>
              <w:pStyle w:val="Compact"/>
            </w:pPr>
            <w:r>
              <w:t xml:space="preserve">$729.81</w:t>
            </w:r>
          </w:p>
        </w:tc>
        <w:tc>
          <w:tcPr/>
          <w:p>
            <w:pPr>
              <w:pStyle w:val="Compact"/>
            </w:pPr>
            <w:r>
              <w:t xml:space="preserve">1.1%</w:t>
            </w:r>
          </w:p>
        </w:tc>
      </w:tr>
      <w:tr>
        <w:tc>
          <w:tcPr/>
          <w:p>
            <w:pPr>
              <w:pStyle w:val="Compact"/>
            </w:pPr>
            <w:r>
              <w:t xml:space="preserve">8Q</w:t>
            </w:r>
          </w:p>
        </w:tc>
        <w:tc>
          <w:tcPr/>
          <w:p>
            <w:pPr>
              <w:pStyle w:val="Compact"/>
            </w:pPr>
            <w:r>
              <w:t xml:space="preserve">Bull</w:t>
            </w:r>
          </w:p>
        </w:tc>
        <w:tc>
          <w:tcPr/>
          <w:p>
            <w:pPr>
              <w:pStyle w:val="Compact"/>
            </w:pPr>
            <w:r>
              <w:t xml:space="preserve">$1,221.71</w:t>
            </w:r>
          </w:p>
        </w:tc>
        <w:tc>
          <w:tcPr/>
          <w:p>
            <w:pPr>
              <w:pStyle w:val="Compact"/>
            </w:pPr>
            <w:r>
              <w:t xml:space="preserve">69.3%</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23.2x</w:t>
            </w:r>
          </w:p>
        </w:tc>
      </w:tr>
      <w:tr>
        <w:tc>
          <w:tcPr/>
          <w:p>
            <w:pPr>
              <w:pStyle w:val="Compact"/>
            </w:pPr>
            <w:r>
              <w:t xml:space="preserve">4Q</w:t>
            </w:r>
          </w:p>
        </w:tc>
        <w:tc>
          <w:tcPr/>
          <w:p>
            <w:pPr>
              <w:pStyle w:val="Compact"/>
            </w:pPr>
            <w:r>
              <w:t xml:space="preserve">22.2x</w:t>
            </w:r>
          </w:p>
        </w:tc>
      </w:tr>
      <w:tr>
        <w:tc>
          <w:tcPr/>
          <w:p>
            <w:pPr>
              <w:pStyle w:val="Compact"/>
            </w:pPr>
            <w:r>
              <w:t xml:space="preserve">6Q</w:t>
            </w:r>
          </w:p>
        </w:tc>
        <w:tc>
          <w:tcPr/>
          <w:p>
            <w:pPr>
              <w:pStyle w:val="Compact"/>
            </w:pPr>
            <w:r>
              <w:t xml:space="preserve">21.1x</w:t>
            </w:r>
          </w:p>
        </w:tc>
      </w:tr>
      <w:tr>
        <w:tc>
          <w:tcPr/>
          <w:p>
            <w:pPr>
              <w:pStyle w:val="Compact"/>
            </w:pPr>
            <w:r>
              <w:t xml:space="preserve">8Q</w:t>
            </w:r>
          </w:p>
        </w:tc>
        <w:tc>
          <w:tcPr/>
          <w:p>
            <w:pPr>
              <w:pStyle w:val="Compact"/>
            </w:pPr>
            <w:r>
              <w:t xml:space="preserve">20.1x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5.6%</w:t>
            </w:r>
          </w:p>
        </w:tc>
        <w:tc>
          <w:tcPr/>
          <w:p>
            <w:pPr>
              <w:pStyle w:val="Compact"/>
            </w:pPr>
            <w:r>
              <w:t xml:space="preserve">4.8%</w:t>
            </w:r>
          </w:p>
        </w:tc>
        <w:tc>
          <w:tcPr/>
          <w:p>
            <w:pPr>
              <w:pStyle w:val="Compact"/>
            </w:pPr>
            <w:r>
              <w:t xml:space="preserve">11.7%</w:t>
            </w:r>
          </w:p>
        </w:tc>
        <w:tc>
          <w:tcPr/>
          <w:p>
            <w:pPr>
              <w:pStyle w:val="Compact"/>
            </w:pPr>
            <w:r>
              <w:t xml:space="preserve">2.5%</w:t>
            </w:r>
          </w:p>
        </w:tc>
        <w:tc>
          <w:tcPr/>
          <w:p>
            <w:pPr>
              <w:pStyle w:val="Compact"/>
            </w:pPr>
            <w:r>
              <w:t xml:space="preserve">25.0%</w:t>
            </w:r>
          </w:p>
        </w:tc>
        <w:tc>
          <w:tcPr/>
          <w:p>
            <w:pPr>
              <w:pStyle w:val="Compact"/>
            </w:pPr>
            <w:r>
              <w:t xml:space="preserve">$274.36</w:t>
            </w:r>
          </w:p>
        </w:tc>
        <w:tc>
          <w:tcPr/>
          <w:p>
            <w:pPr>
              <w:pStyle w:val="Compact"/>
            </w:pPr>
            <w:r>
              <w:t xml:space="preserve">-62.0%</w:t>
            </w:r>
          </w:p>
        </w:tc>
      </w:tr>
      <w:tr>
        <w:tc>
          <w:tcPr/>
          <w:p>
            <w:pPr>
              <w:pStyle w:val="Compact"/>
            </w:pPr>
            <w:r>
              <w:t xml:space="preserve">Base</w:t>
            </w:r>
          </w:p>
        </w:tc>
        <w:tc>
          <w:tcPr/>
          <w:p>
            <w:pPr>
              <w:pStyle w:val="Compact"/>
            </w:pPr>
            <w:r>
              <w:t xml:space="preserve">11.1%</w:t>
            </w:r>
          </w:p>
        </w:tc>
        <w:tc>
          <w:tcPr/>
          <w:p>
            <w:pPr>
              <w:pStyle w:val="Compact"/>
            </w:pPr>
            <w:r>
              <w:t xml:space="preserve">6.0%</w:t>
            </w:r>
          </w:p>
        </w:tc>
        <w:tc>
          <w:tcPr/>
          <w:p>
            <w:pPr>
              <w:pStyle w:val="Compact"/>
            </w:pPr>
            <w:r>
              <w:t xml:space="preserve">10.7%</w:t>
            </w:r>
          </w:p>
        </w:tc>
        <w:tc>
          <w:tcPr/>
          <w:p>
            <w:pPr>
              <w:pStyle w:val="Compact"/>
            </w:pPr>
            <w:r>
              <w:t xml:space="preserve">3.0%</w:t>
            </w:r>
          </w:p>
        </w:tc>
        <w:tc>
          <w:tcPr/>
          <w:p>
            <w:pPr>
              <w:pStyle w:val="Compact"/>
            </w:pPr>
            <w:r>
              <w:t xml:space="preserve">50.0%</w:t>
            </w:r>
          </w:p>
        </w:tc>
        <w:tc>
          <w:tcPr/>
          <w:p>
            <w:pPr>
              <w:pStyle w:val="Compact"/>
            </w:pPr>
            <w:r>
              <w:t xml:space="preserve">$480.11</w:t>
            </w:r>
          </w:p>
        </w:tc>
        <w:tc>
          <w:tcPr/>
          <w:p>
            <w:pPr>
              <w:pStyle w:val="Compact"/>
            </w:pPr>
            <w:r>
              <w:t xml:space="preserve">-33.5%</w:t>
            </w:r>
          </w:p>
        </w:tc>
      </w:tr>
      <w:tr>
        <w:tc>
          <w:tcPr/>
          <w:p>
            <w:pPr>
              <w:pStyle w:val="Compact"/>
            </w:pPr>
            <w:r>
              <w:t xml:space="preserve">Bull</w:t>
            </w:r>
          </w:p>
        </w:tc>
        <w:tc>
          <w:tcPr/>
          <w:p>
            <w:pPr>
              <w:pStyle w:val="Compact"/>
            </w:pPr>
            <w:r>
              <w:t xml:space="preserve">14.5%</w:t>
            </w:r>
          </w:p>
        </w:tc>
        <w:tc>
          <w:tcPr/>
          <w:p>
            <w:pPr>
              <w:pStyle w:val="Compact"/>
            </w:pPr>
            <w:r>
              <w:t xml:space="preserve">6.9%</w:t>
            </w:r>
          </w:p>
        </w:tc>
        <w:tc>
          <w:tcPr/>
          <w:p>
            <w:pPr>
              <w:pStyle w:val="Compact"/>
            </w:pPr>
            <w:r>
              <w:t xml:space="preserve">10.2%</w:t>
            </w:r>
          </w:p>
        </w:tc>
        <w:tc>
          <w:tcPr/>
          <w:p>
            <w:pPr>
              <w:pStyle w:val="Compact"/>
            </w:pPr>
            <w:r>
              <w:t xml:space="preserve">3.5%</w:t>
            </w:r>
          </w:p>
        </w:tc>
        <w:tc>
          <w:tcPr/>
          <w:p>
            <w:pPr>
              <w:pStyle w:val="Compact"/>
            </w:pPr>
            <w:r>
              <w:t xml:space="preserve">25.0%</w:t>
            </w:r>
          </w:p>
        </w:tc>
        <w:tc>
          <w:tcPr/>
          <w:p>
            <w:pPr>
              <w:pStyle w:val="Compact"/>
            </w:pPr>
            <w:r>
              <w:t xml:space="preserve">$704.49</w:t>
            </w:r>
          </w:p>
        </w:tc>
        <w:tc>
          <w:tcPr/>
          <w:p>
            <w:pPr>
              <w:pStyle w:val="Compact"/>
            </w:pPr>
            <w:r>
              <w:t xml:space="preserve">-2.4%</w:t>
            </w:r>
          </w:p>
        </w:tc>
      </w:tr>
    </w:tbl>
    <w:p>
      <w:pPr>
        <w:pStyle w:val="BodyText"/>
      </w:pPr>
      <w:r>
        <w:t xml:space="preserve">Probability-weighted value</w:t>
      </w:r>
      <w:r>
        <w:t xml:space="preserve"> </w:t>
      </w:r>
      <w:r>
        <w:rPr>
          <w:b/>
          <w:bCs/>
        </w:rPr>
        <w:t xml:space="preserve">$484.77</w:t>
      </w:r>
      <w:r>
        <w:t xml:space="preserve"> </w:t>
      </w:r>
      <w:r>
        <w:t xml:space="preserve">(-32.8%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20.8 bn USD; terminal share 51.3%.</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21.9%</w:t>
      </w:r>
      <w:r>
        <w:t xml:space="preserve"> </w:t>
      </w:r>
      <w:r>
        <w:t xml:space="preserve">vs consensus FY+1 11.1%.</w:t>
      </w:r>
    </w:p>
    <w:p>
      <w:pPr>
        <w:pStyle w:val="Compact"/>
        <w:numPr>
          <w:ilvl w:val="0"/>
          <w:numId w:val="1013"/>
        </w:numPr>
      </w:pPr>
      <w:r>
        <w:t xml:space="preserve">WACC (CAPM) = rf 5.1% + β 1.12 × ERP 5.0% = 10.7%.</w:t>
      </w:r>
    </w:p>
    <w:p>
      <w:pPr>
        <w:pStyle w:val="Compact"/>
        <w:numPr>
          <w:ilvl w:val="0"/>
          <w:numId w:val="1013"/>
        </w:numPr>
      </w:pPr>
      <w:r>
        <w:t xml:space="preserve">SOTP segments: US Electrical construction </w:t>
      </w:r>
      <w:r>
        <w:rPr>
          <w:rFonts w:hint="eastAsia"/>
        </w:rPr>
        <w:t xml:space="preserve">电气;</w:t>
      </w:r>
      <w:r>
        <w:t xml:space="preserve"> US Mechanical construction </w:t>
      </w:r>
      <w:r>
        <w:rPr>
          <w:rFonts w:hint="eastAsia"/>
        </w:rPr>
        <w:t xml:space="preserve">机械;</w:t>
      </w:r>
      <w:r>
        <w:t xml:space="preserve"> US Building services </w:t>
      </w:r>
      <w:r>
        <w:rPr>
          <w:rFonts w:hint="eastAsia"/>
        </w:rPr>
        <w:t xml:space="preserve">楼宇服务;</w:t>
      </w:r>
      <w:r>
        <w:t xml:space="preserve"> UK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DC project timing pushouts; labor cost </w:t>
      </w:r>
      <w:r>
        <w:rPr>
          <w:rFonts w:hint="eastAsia"/>
        </w:rPr>
        <w:t xml:space="preserve">inflation｜数据中心项目延后；人工成本</w:t>
      </w:r>
      <w:r>
        <w:t xml:space="preserve"> | Falsifiers: RPO declines; op margin </w:t>
      </w:r>
      <w:r>
        <w:rPr>
          <w:rFonts w:hint="eastAsia"/>
        </w:rPr>
        <w:t xml:space="preserve">&lt;8%｜RPO下降；营业利润率&lt;8%</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EME_model_v20261017-0755.xlsx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data/snapshots/20261017-0755</w:t>
      </w:r>
      <w:r>
        <w:t xml:space="preserve"> </w:t>
      </w:r>
      <w:r>
        <w:t xml:space="preserve">(immutable) | Fetched 2026-10-17 07:55 SGT | Generated 2026-10-17 07:57 SGT</w:t>
      </w:r>
      <w:r>
        <w:t xml:space="preserve"> </w:t>
      </w:r>
      <w:r>
        <w:t xml:space="preserve">- Version: v20261017-0755.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2026-10-16T23:58:28Z</dcterms:created>
  <dcterms:modified xsi:type="dcterms:W3CDTF">2026-10-16T23:58:28Z</dcterms:modified>
</cp:coreProperties>
</file>

<file path=docProps/custom.xml><?xml version="1.0" encoding="utf-8"?>
<Properties xmlns="http://schemas.openxmlformats.org/officeDocument/2006/custom-properties" xmlns:vt="http://schemas.openxmlformats.org/officeDocument/2006/docPropsVTypes"/>
</file>