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ad158a2cf782bb98d6bb0a96a5f9f99b78d126"/>
    <w:p>
      <w:pPr>
        <w:pStyle w:val="Heading1"/>
      </w:pPr>
      <w:r>
        <w:t xml:space="preserve">GLW Corning Incorporated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$132.00｜市值</w:t>
      </w:r>
      <w:r>
        <w:t xml:space="preserve"> 113.7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AI数据中心内部与之间的光纤密度大幅提升，使康宁光通信成为AI基建的’铜→光’受益者；Springboard计划强调利润率提升。</w:t>
      </w:r>
    </w:p>
    <w:p>
      <w:pPr>
        <w:pStyle w:val="Compact"/>
        <w:numPr>
          <w:ilvl w:val="0"/>
          <w:numId w:val="1001"/>
        </w:numPr>
      </w:pPr>
      <w:r>
        <w:rPr>
          <w:rFonts w:hint="eastAsia"/>
          <w:b/>
          <w:bCs/>
        </w:rPr>
        <w:t xml:space="preserve">多头驱动</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1"/>
        </w:numPr>
      </w:pPr>
      <w:r>
        <w:rPr>
          <w:rFonts w:hint="eastAsia"/>
          <w:b/>
          <w:bCs/>
        </w:rPr>
        <w:t xml:space="preserve">空头驱动</w:t>
      </w:r>
      <w:r>
        <w:t xml:space="preserve">: Display weakness, fiber pricing from Chinese competition, capex </w:t>
      </w:r>
      <w:r>
        <w:rPr>
          <w:rFonts w:hint="eastAsia"/>
        </w:rPr>
        <w:t xml:space="preserve">digestion｜显示疲弱、中国光纤价格竞争、Capex消化</w:t>
      </w:r>
    </w:p>
    <w:p>
      <w:pPr>
        <w:pStyle w:val="Compact"/>
        <w:numPr>
          <w:ilvl w:val="0"/>
          <w:numId w:val="1001"/>
        </w:numPr>
      </w:pPr>
      <w:r>
        <w:rPr>
          <w:rFonts w:hint="eastAsia"/>
          <w:b/>
          <w:bCs/>
        </w:rPr>
        <w:t xml:space="preserve">证伪条件</w:t>
      </w:r>
      <w:r>
        <w:rPr>
          <w:b/>
          <w:bCs/>
        </w:rPr>
        <w:t xml:space="preserve"> Falsifiers</w:t>
      </w:r>
      <w:r>
        <w:t xml:space="preserve">: Optical Comms growth decelerates below enterprise market; Springboard margin targets </w:t>
      </w:r>
      <w:r>
        <w:rPr>
          <w:rFonts w:hint="eastAsia"/>
        </w:rPr>
        <w:t xml:space="preserve">missed｜光通信增速回落；Springboard利润率目标落空</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fiber / specialty glass </w:t>
      </w:r>
      <w:r>
        <w:rPr>
          <w:rFonts w:hint="eastAsia"/>
        </w:rPr>
        <w:t xml:space="preserve">光纤/特种玻璃</w:t>
      </w:r>
    </w:p>
    <w:p>
      <w:pPr>
        <w:pStyle w:val="Compact"/>
        <w:numPr>
          <w:ilvl w:val="0"/>
          <w:numId w:val="1002"/>
        </w:numPr>
      </w:pPr>
      <w:r>
        <w:rPr>
          <w:rFonts w:hint="eastAsia"/>
        </w:rPr>
        <w:t xml:space="preserve">业务分部</w:t>
      </w:r>
      <w:r>
        <w:t xml:space="preserve"> Segments: Optical Communications </w:t>
      </w:r>
      <w:r>
        <w:rPr>
          <w:rFonts w:hint="eastAsia"/>
        </w:rPr>
        <w:t xml:space="preserve">光通信；Display</w:t>
      </w:r>
      <w:r>
        <w:t xml:space="preserve"> </w:t>
      </w:r>
      <w:r>
        <w:rPr>
          <w:rFonts w:hint="eastAsia"/>
        </w:rPr>
        <w:t xml:space="preserve">显示；Specialty</w:t>
      </w:r>
      <w:r>
        <w:t xml:space="preserve"> Materials </w:t>
      </w:r>
      <w:r>
        <w:rPr>
          <w:rFonts w:hint="eastAsia"/>
        </w:rPr>
        <w:t xml:space="preserve">特种材料(Gorilla)；Environmental/Life</w:t>
      </w:r>
      <w:r>
        <w:t xml:space="preserve"> Sci/Solar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02"/>
        </w:numPr>
      </w:pPr>
      <w:r>
        <w:rPr>
          <w:rFonts w:hint="eastAsia"/>
        </w:rPr>
        <w:t xml:space="preserve">主要客户:</w:t>
      </w:r>
      <w:r>
        <w:t xml:space="preserve"> Hyperscalers &amp; carriers (fiber/connectivity), Samsung/LG/BOE (display), Apple (cover </w:t>
      </w:r>
      <w:r>
        <w:rPr>
          <w:rFonts w:hint="eastAsia"/>
        </w:rPr>
        <w:t xml:space="preserve">glass)｜云厂与电信商、面板厂、苹果</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Raw materials (silica, germanium), energy; in-house glass </w:t>
      </w:r>
      <w:r>
        <w:rPr>
          <w:rFonts w:hint="eastAsia"/>
        </w:rPr>
        <w:t xml:space="preserve">tech｜原材料(硅、锗)、能源；自有玻璃工艺</w:t>
      </w:r>
    </w:p>
    <w:p>
      <w:pPr>
        <w:pStyle w:val="Compact"/>
        <w:numPr>
          <w:ilvl w:val="0"/>
          <w:numId w:val="1003"/>
        </w:numPr>
      </w:pPr>
      <w:r>
        <w:rPr>
          <w:rFonts w:hint="eastAsia"/>
        </w:rPr>
        <w:t xml:space="preserve">竞争者</w:t>
      </w:r>
      <w:r>
        <w:t xml:space="preserve"> </w:t>
      </w:r>
      <w:r>
        <w:rPr>
          <w:rFonts w:hint="eastAsia"/>
        </w:rPr>
        <w:t xml:space="preserve">(含业外):</w:t>
      </w:r>
      <w:r>
        <w:t xml:space="preserve"> Prysmian, Fujikura, Sumitomo, YOFC (fiber); AGC, NEG </w:t>
      </w:r>
      <w:r>
        <w:rPr>
          <w:rFonts w:hint="eastAsia"/>
        </w:rPr>
        <w:t xml:space="preserve">(glass)｜普睿司曼、藤仓、住友、长飞；旭硝子、日本电气硝子</w:t>
      </w:r>
    </w:p>
    <w:p>
      <w:pPr>
        <w:pStyle w:val="Compact"/>
        <w:numPr>
          <w:ilvl w:val="0"/>
          <w:numId w:val="1003"/>
        </w:numPr>
      </w:pPr>
      <w:r>
        <w:rPr>
          <w:rFonts w:hint="eastAsia"/>
        </w:rPr>
        <w:t xml:space="preserve">瓶颈/监管:</w:t>
      </w:r>
      <w:r>
        <w:t xml:space="preserve"> High-density fiber/cable capacity for AI data centers; preform </w:t>
      </w:r>
      <w:r>
        <w:rPr>
          <w:rFonts w:hint="eastAsia"/>
        </w:rPr>
        <w:t xml:space="preserve">capacity｜AI数据中心高密度光纤/光缆产能、预制棒产能</w:t>
      </w:r>
    </w:p>
    <w:p>
      <w:pPr>
        <w:pStyle w:val="Compact"/>
        <w:numPr>
          <w:ilvl w:val="0"/>
          <w:numId w:val="1003"/>
        </w:numPr>
      </w:pPr>
      <w:r>
        <w:rPr>
          <w:rFonts w:hint="eastAsia"/>
        </w:rPr>
        <w:t xml:space="preserve">关键KPI:</w:t>
      </w:r>
      <w:r>
        <w:t xml:space="preserve"> Optical Comms sales, core op margin, enterprise network </w:t>
      </w:r>
      <w:r>
        <w:rPr>
          <w:rFonts w:hint="eastAsia"/>
        </w:rPr>
        <w:t xml:space="preserve">growth｜光通信销售、核心营业利润率、企业网络增速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rPr>
          <w:rFonts w:hint="eastAsia"/>
        </w:rPr>
        <w:t xml:space="preserve">资产负债:</w:t>
      </w:r>
      <w:r>
        <w:t xml:space="preserve"> </w:t>
      </w:r>
      <w:r>
        <w:rPr>
          <w:rFonts w:hint="eastAsia"/>
        </w:rPr>
        <w:t xml:space="preserve">现金</w:t>
      </w:r>
      <w:r>
        <w:t xml:space="preserve"> 2.5 bn </w:t>
      </w:r>
      <w:r>
        <w:rPr>
          <w:rFonts w:hint="eastAsia"/>
        </w:rPr>
        <w:t xml:space="preserve">USD；总负债</w:t>
      </w:r>
      <w:r>
        <w:t xml:space="preserve"> 9.4 bn </w:t>
      </w:r>
      <w:r>
        <w:rPr>
          <w:rFonts w:hint="eastAsia"/>
        </w:rPr>
        <w:t xml:space="preserve">USD；净现金</w:t>
      </w:r>
      <w:r>
        <w:t xml:space="preserve"> -6.9 bn USD。TTM FCF 2.4 bn </w:t>
      </w:r>
      <w:r>
        <w:rPr>
          <w:rFonts w:hint="eastAsia"/>
        </w:rPr>
        <w:t xml:space="preserve">USD（FCF率</w:t>
      </w:r>
      <w:r>
        <w:t xml:space="preserve"> </w:t>
      </w:r>
      <w:r>
        <w:rPr>
          <w:rFonts w:hint="eastAsia"/>
        </w:rPr>
        <w:t xml:space="preserve">14.1%）。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2026-10-27</w:t>
      </w:r>
      <w:r>
        <w:rPr>
          <w:rFonts w:hint="eastAsia"/>
        </w:rPr>
        <w:t xml:space="preserve">；本季EPS一致预期</w:t>
      </w:r>
      <w:r>
        <w:t xml:space="preserve"> </w:t>
      </w:r>
      <w:r>
        <w:rPr>
          <w:rFonts w:hint="eastAsia"/>
        </w:rPr>
        <w:t xml:space="preserve">0.87717（13位分析师）；收入一致预期</w:t>
      </w:r>
      <w:r>
        <w:t xml:space="preserve"> 5.0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$35.82</w:t>
            </w:r>
          </w:p>
        </w:tc>
        <w:tc>
          <w:tcPr/>
          <w:p>
            <w:pPr>
              <w:pStyle w:val="Compact"/>
            </w:pPr>
            <w:r>
              <w:t xml:space="preserve">-72.9%</w:t>
            </w:r>
          </w:p>
        </w:tc>
      </w:tr>
      <w:tr>
        <w:tc>
          <w:tcPr/>
          <w:p>
            <w:pPr>
              <w:pStyle w:val="Compact"/>
            </w:pPr>
            <w:r>
              <w:t xml:space="preserve">2Q</w:t>
            </w:r>
          </w:p>
        </w:tc>
        <w:tc>
          <w:tcPr/>
          <w:p>
            <w:pPr>
              <w:pStyle w:val="Compact"/>
            </w:pPr>
            <w:r>
              <w:t xml:space="preserve">Base</w:t>
            </w:r>
          </w:p>
        </w:tc>
        <w:tc>
          <w:tcPr/>
          <w:p>
            <w:pPr>
              <w:pStyle w:val="Compact"/>
            </w:pPr>
            <w:r>
              <w:t xml:space="preserve">$80.48</w:t>
            </w:r>
          </w:p>
        </w:tc>
        <w:tc>
          <w:tcPr/>
          <w:p>
            <w:pPr>
              <w:pStyle w:val="Compact"/>
            </w:pPr>
            <w:r>
              <w:t xml:space="preserve">-39.0%</w:t>
            </w:r>
          </w:p>
        </w:tc>
      </w:tr>
      <w:tr>
        <w:tc>
          <w:tcPr/>
          <w:p>
            <w:pPr>
              <w:pStyle w:val="Compact"/>
            </w:pPr>
            <w:r>
              <w:t xml:space="preserve">2Q</w:t>
            </w:r>
          </w:p>
        </w:tc>
        <w:tc>
          <w:tcPr/>
          <w:p>
            <w:pPr>
              <w:pStyle w:val="Compact"/>
            </w:pPr>
            <w:r>
              <w:t xml:space="preserve">Bull</w:t>
            </w:r>
          </w:p>
        </w:tc>
        <w:tc>
          <w:tcPr/>
          <w:p>
            <w:pPr>
              <w:pStyle w:val="Compact"/>
            </w:pPr>
            <w:r>
              <w:t xml:space="preserve">$131.45</w:t>
            </w:r>
          </w:p>
        </w:tc>
        <w:tc>
          <w:tcPr/>
          <w:p>
            <w:pPr>
              <w:pStyle w:val="Compact"/>
            </w:pPr>
            <w:r>
              <w:t xml:space="preserve">-0.4%</w:t>
            </w:r>
          </w:p>
        </w:tc>
      </w:tr>
      <w:tr>
        <w:tc>
          <w:tcPr/>
          <w:p>
            <w:pPr>
              <w:pStyle w:val="Compact"/>
            </w:pPr>
            <w:r>
              <w:t xml:space="preserve">4Q</w:t>
            </w:r>
          </w:p>
        </w:tc>
        <w:tc>
          <w:tcPr/>
          <w:p>
            <w:pPr>
              <w:pStyle w:val="Compact"/>
            </w:pPr>
            <w:r>
              <w:t xml:space="preserve">Bear</w:t>
            </w:r>
          </w:p>
        </w:tc>
        <w:tc>
          <w:tcPr/>
          <w:p>
            <w:pPr>
              <w:pStyle w:val="Compact"/>
            </w:pPr>
            <w:r>
              <w:t xml:space="preserve">$35.18</w:t>
            </w:r>
          </w:p>
        </w:tc>
        <w:tc>
          <w:tcPr/>
          <w:p>
            <w:pPr>
              <w:pStyle w:val="Compact"/>
            </w:pPr>
            <w:r>
              <w:t xml:space="preserve">-73.3%</w:t>
            </w:r>
          </w:p>
        </w:tc>
      </w:tr>
      <w:tr>
        <w:tc>
          <w:tcPr/>
          <w:p>
            <w:pPr>
              <w:pStyle w:val="Compact"/>
            </w:pPr>
            <w:r>
              <w:t xml:space="preserve">4Q</w:t>
            </w:r>
          </w:p>
        </w:tc>
        <w:tc>
          <w:tcPr/>
          <w:p>
            <w:pPr>
              <w:pStyle w:val="Compact"/>
            </w:pPr>
            <w:r>
              <w:t xml:space="preserve">Base</w:t>
            </w:r>
          </w:p>
        </w:tc>
        <w:tc>
          <w:tcPr/>
          <w:p>
            <w:pPr>
              <w:pStyle w:val="Compact"/>
            </w:pPr>
            <w:r>
              <w:t xml:space="preserve">$84.90</w:t>
            </w:r>
          </w:p>
        </w:tc>
        <w:tc>
          <w:tcPr/>
          <w:p>
            <w:pPr>
              <w:pStyle w:val="Compact"/>
            </w:pPr>
            <w:r>
              <w:t xml:space="preserve">-35.7%</w:t>
            </w:r>
          </w:p>
        </w:tc>
      </w:tr>
      <w:tr>
        <w:tc>
          <w:tcPr/>
          <w:p>
            <w:pPr>
              <w:pStyle w:val="Compact"/>
            </w:pPr>
            <w:r>
              <w:t xml:space="preserve">4Q</w:t>
            </w:r>
          </w:p>
        </w:tc>
        <w:tc>
          <w:tcPr/>
          <w:p>
            <w:pPr>
              <w:pStyle w:val="Compact"/>
            </w:pPr>
            <w:r>
              <w:t xml:space="preserve">Bull</w:t>
            </w:r>
          </w:p>
        </w:tc>
        <w:tc>
          <w:tcPr/>
          <w:p>
            <w:pPr>
              <w:pStyle w:val="Compact"/>
            </w:pPr>
            <w:r>
              <w:t xml:space="preserve">$144.24</w:t>
            </w:r>
          </w:p>
        </w:tc>
        <w:tc>
          <w:tcPr/>
          <w:p>
            <w:pPr>
              <w:pStyle w:val="Compact"/>
            </w:pPr>
            <w:r>
              <w:t xml:space="preserve">9.3%</w:t>
            </w:r>
          </w:p>
        </w:tc>
      </w:tr>
      <w:tr>
        <w:tc>
          <w:tcPr/>
          <w:p>
            <w:pPr>
              <w:pStyle w:val="Compact"/>
            </w:pPr>
            <w:r>
              <w:t xml:space="preserve">6Q</w:t>
            </w:r>
          </w:p>
        </w:tc>
        <w:tc>
          <w:tcPr/>
          <w:p>
            <w:pPr>
              <w:pStyle w:val="Compact"/>
            </w:pPr>
            <w:r>
              <w:t xml:space="preserve">Bear</w:t>
            </w:r>
          </w:p>
        </w:tc>
        <w:tc>
          <w:tcPr/>
          <w:p>
            <w:pPr>
              <w:pStyle w:val="Compact"/>
            </w:pPr>
            <w:r>
              <w:t xml:space="preserve">$34.53</w:t>
            </w:r>
          </w:p>
        </w:tc>
        <w:tc>
          <w:tcPr/>
          <w:p>
            <w:pPr>
              <w:pStyle w:val="Compact"/>
            </w:pPr>
            <w:r>
              <w:t xml:space="preserve">-73.8%</w:t>
            </w:r>
          </w:p>
        </w:tc>
      </w:tr>
      <w:tr>
        <w:tc>
          <w:tcPr/>
          <w:p>
            <w:pPr>
              <w:pStyle w:val="Compact"/>
            </w:pPr>
            <w:r>
              <w:t xml:space="preserve">6Q</w:t>
            </w:r>
          </w:p>
        </w:tc>
        <w:tc>
          <w:tcPr/>
          <w:p>
            <w:pPr>
              <w:pStyle w:val="Compact"/>
            </w:pPr>
            <w:r>
              <w:t xml:space="preserve">Base</w:t>
            </w:r>
          </w:p>
        </w:tc>
        <w:tc>
          <w:tcPr/>
          <w:p>
            <w:pPr>
              <w:pStyle w:val="Compact"/>
            </w:pPr>
            <w:r>
              <w:t xml:space="preserve">$89.48</w:t>
            </w:r>
          </w:p>
        </w:tc>
        <w:tc>
          <w:tcPr/>
          <w:p>
            <w:pPr>
              <w:pStyle w:val="Compact"/>
            </w:pPr>
            <w:r>
              <w:t xml:space="preserve">-32.2%</w:t>
            </w:r>
          </w:p>
        </w:tc>
      </w:tr>
      <w:tr>
        <w:tc>
          <w:tcPr/>
          <w:p>
            <w:pPr>
              <w:pStyle w:val="Compact"/>
            </w:pPr>
            <w:r>
              <w:t xml:space="preserve">6Q</w:t>
            </w:r>
          </w:p>
        </w:tc>
        <w:tc>
          <w:tcPr/>
          <w:p>
            <w:pPr>
              <w:pStyle w:val="Compact"/>
            </w:pPr>
            <w:r>
              <w:t xml:space="preserve">Bull</w:t>
            </w:r>
          </w:p>
        </w:tc>
        <w:tc>
          <w:tcPr/>
          <w:p>
            <w:pPr>
              <w:pStyle w:val="Compact"/>
            </w:pPr>
            <w:r>
              <w:t xml:space="preserve">$158.06</w:t>
            </w:r>
          </w:p>
        </w:tc>
        <w:tc>
          <w:tcPr/>
          <w:p>
            <w:pPr>
              <w:pStyle w:val="Compact"/>
            </w:pPr>
            <w:r>
              <w:t xml:space="preserve">19.7%</w:t>
            </w:r>
          </w:p>
        </w:tc>
      </w:tr>
      <w:tr>
        <w:tc>
          <w:tcPr/>
          <w:p>
            <w:pPr>
              <w:pStyle w:val="Compact"/>
            </w:pPr>
            <w:r>
              <w:t xml:space="preserve">8Q</w:t>
            </w:r>
          </w:p>
        </w:tc>
        <w:tc>
          <w:tcPr/>
          <w:p>
            <w:pPr>
              <w:pStyle w:val="Compact"/>
            </w:pPr>
            <w:r>
              <w:t xml:space="preserve">Bear</w:t>
            </w:r>
          </w:p>
        </w:tc>
        <w:tc>
          <w:tcPr/>
          <w:p>
            <w:pPr>
              <w:pStyle w:val="Compact"/>
            </w:pPr>
            <w:r>
              <w:t xml:space="preserve">$33.88</w:t>
            </w:r>
          </w:p>
        </w:tc>
        <w:tc>
          <w:tcPr/>
          <w:p>
            <w:pPr>
              <w:pStyle w:val="Compact"/>
            </w:pPr>
            <w:r>
              <w:t xml:space="preserve">-74.3%</w:t>
            </w:r>
          </w:p>
        </w:tc>
      </w:tr>
      <w:tr>
        <w:tc>
          <w:tcPr/>
          <w:p>
            <w:pPr>
              <w:pStyle w:val="Compact"/>
            </w:pPr>
            <w:r>
              <w:t xml:space="preserve">8Q</w:t>
            </w:r>
          </w:p>
        </w:tc>
        <w:tc>
          <w:tcPr/>
          <w:p>
            <w:pPr>
              <w:pStyle w:val="Compact"/>
            </w:pPr>
            <w:r>
              <w:t xml:space="preserve">Base</w:t>
            </w:r>
          </w:p>
        </w:tc>
        <w:tc>
          <w:tcPr/>
          <w:p>
            <w:pPr>
              <w:pStyle w:val="Compact"/>
            </w:pPr>
            <w:r>
              <w:t xml:space="preserve">$94.24</w:t>
            </w:r>
          </w:p>
        </w:tc>
        <w:tc>
          <w:tcPr/>
          <w:p>
            <w:pPr>
              <w:pStyle w:val="Compact"/>
            </w:pPr>
            <w:r>
              <w:t xml:space="preserve">-28.6%</w:t>
            </w:r>
          </w:p>
        </w:tc>
      </w:tr>
      <w:tr>
        <w:tc>
          <w:tcPr/>
          <w:p>
            <w:pPr>
              <w:pStyle w:val="Compact"/>
            </w:pPr>
            <w:r>
              <w:t xml:space="preserve">8Q</w:t>
            </w:r>
          </w:p>
        </w:tc>
        <w:tc>
          <w:tcPr/>
          <w:p>
            <w:pPr>
              <w:pStyle w:val="Compact"/>
            </w:pPr>
            <w:r>
              <w:t xml:space="preserve">Bull</w:t>
            </w:r>
          </w:p>
        </w:tc>
        <w:tc>
          <w:tcPr/>
          <w:p>
            <w:pPr>
              <w:pStyle w:val="Compact"/>
            </w:pPr>
            <w:r>
              <w:t xml:space="preserve">$173.00</w:t>
            </w:r>
          </w:p>
        </w:tc>
        <w:tc>
          <w:tcPr/>
          <w:p>
            <w:pPr>
              <w:pStyle w:val="Compact"/>
            </w:pPr>
            <w:r>
              <w:t xml:space="preserve">31.1%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37.8x</w:t>
            </w:r>
          </w:p>
        </w:tc>
      </w:tr>
      <w:tr>
        <w:tc>
          <w:tcPr/>
          <w:p>
            <w:pPr>
              <w:pStyle w:val="Compact"/>
            </w:pPr>
            <w:r>
              <w:t xml:space="preserve">4Q</w:t>
            </w:r>
          </w:p>
        </w:tc>
        <w:tc>
          <w:tcPr/>
          <w:p>
            <w:pPr>
              <w:pStyle w:val="Compact"/>
            </w:pPr>
            <w:r>
              <w:t xml:space="preserve">34.3x</w:t>
            </w:r>
          </w:p>
        </w:tc>
      </w:tr>
      <w:tr>
        <w:tc>
          <w:tcPr/>
          <w:p>
            <w:pPr>
              <w:pStyle w:val="Compact"/>
            </w:pPr>
            <w:r>
              <w:t xml:space="preserve">6Q</w:t>
            </w:r>
          </w:p>
        </w:tc>
        <w:tc>
          <w:tcPr/>
          <w:p>
            <w:pPr>
              <w:pStyle w:val="Compact"/>
            </w:pPr>
            <w:r>
              <w:t xml:space="preserve">31.2x</w:t>
            </w:r>
          </w:p>
        </w:tc>
      </w:tr>
      <w:tr>
        <w:tc>
          <w:tcPr/>
          <w:p>
            <w:pPr>
              <w:pStyle w:val="Compact"/>
            </w:pPr>
            <w:r>
              <w:t xml:space="preserve">8Q</w:t>
            </w:r>
          </w:p>
        </w:tc>
        <w:tc>
          <w:tcPr/>
          <w:p>
            <w:pPr>
              <w:pStyle w:val="Compact"/>
            </w:pPr>
            <w:r>
              <w:t xml:space="preserve">28.3x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11.7%</w:t>
            </w:r>
          </w:p>
        </w:tc>
        <w:tc>
          <w:tcPr/>
          <w:p>
            <w:pPr>
              <w:pStyle w:val="Compact"/>
            </w:pPr>
            <w:r>
              <w:t xml:space="preserve">2.5%</w:t>
            </w:r>
          </w:p>
        </w:tc>
        <w:tc>
          <w:tcPr/>
          <w:p>
            <w:pPr>
              <w:pStyle w:val="Compact"/>
            </w:pPr>
            <w:r>
              <w:t xml:space="preserve">25.0%</w:t>
            </w:r>
          </w:p>
        </w:tc>
        <w:tc>
          <w:tcPr/>
          <w:p>
            <w:pPr>
              <w:pStyle w:val="Compact"/>
            </w:pPr>
            <w:r>
              <w:t xml:space="preserve">$27.79</w:t>
            </w:r>
          </w:p>
        </w:tc>
        <w:tc>
          <w:tcPr/>
          <w:p>
            <w:pPr>
              <w:pStyle w:val="Compact"/>
            </w:pPr>
            <w:r>
              <w:t xml:space="preserve">-78.9%</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10.7%</w:t>
            </w:r>
          </w:p>
        </w:tc>
        <w:tc>
          <w:tcPr/>
          <w:p>
            <w:pPr>
              <w:pStyle w:val="Compact"/>
            </w:pPr>
            <w:r>
              <w:t xml:space="preserve">3.0%</w:t>
            </w:r>
          </w:p>
        </w:tc>
        <w:tc>
          <w:tcPr/>
          <w:p>
            <w:pPr>
              <w:pStyle w:val="Compact"/>
            </w:pPr>
            <w:r>
              <w:t xml:space="preserve">50.0%</w:t>
            </w:r>
          </w:p>
        </w:tc>
        <w:tc>
          <w:tcPr/>
          <w:p>
            <w:pPr>
              <w:pStyle w:val="Compact"/>
            </w:pPr>
            <w:r>
              <w:t xml:space="preserve">$67.56</w:t>
            </w:r>
          </w:p>
        </w:tc>
        <w:tc>
          <w:tcPr/>
          <w:p>
            <w:pPr>
              <w:pStyle w:val="Compact"/>
            </w:pPr>
            <w:r>
              <w:t xml:space="preserve">-48.8%</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10.2%</w:t>
            </w:r>
          </w:p>
        </w:tc>
        <w:tc>
          <w:tcPr/>
          <w:p>
            <w:pPr>
              <w:pStyle w:val="Compact"/>
            </w:pPr>
            <w:r>
              <w:t xml:space="preserve">3.5%</w:t>
            </w:r>
          </w:p>
        </w:tc>
        <w:tc>
          <w:tcPr/>
          <w:p>
            <w:pPr>
              <w:pStyle w:val="Compact"/>
            </w:pPr>
            <w:r>
              <w:t xml:space="preserve">25.0%</w:t>
            </w:r>
          </w:p>
        </w:tc>
        <w:tc>
          <w:tcPr/>
          <w:p>
            <w:pPr>
              <w:pStyle w:val="Compact"/>
            </w:pPr>
            <w:r>
              <w:t xml:space="preserve">$115.61</w:t>
            </w:r>
          </w:p>
        </w:tc>
        <w:tc>
          <w:tcPr/>
          <w:p>
            <w:pPr>
              <w:pStyle w:val="Compact"/>
            </w:pPr>
            <w:r>
              <w:t xml:space="preserve">-12.4%</w:t>
            </w:r>
          </w:p>
        </w:tc>
      </w:tr>
    </w:tbl>
    <w:p>
      <w:pPr>
        <w:pStyle w:val="BodyText"/>
      </w:pPr>
      <w:r>
        <w:rPr>
          <w:rFonts w:hint="eastAsia"/>
        </w:rPr>
        <w:t xml:space="preserve">概率加权价值</w:t>
      </w:r>
      <w:r>
        <w:t xml:space="preserve"> </w:t>
      </w:r>
      <w:r>
        <w:rPr>
          <w:b/>
          <w:bCs/>
        </w:rPr>
        <w:t xml:space="preserve">$69.63</w:t>
      </w:r>
      <w:r>
        <w:rPr>
          <w:rFonts w:hint="eastAsia"/>
        </w:rPr>
        <w:t xml:space="preserve">（相对现价</w:t>
      </w:r>
      <w:r>
        <w:t xml:space="preserve"> </w:t>
      </w:r>
      <w:r>
        <w:rPr>
          <w:rFonts w:hint="eastAsia"/>
        </w:rPr>
        <w:t xml:space="preserve">-47.2%）。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65.1 bn </w:t>
      </w:r>
      <w:r>
        <w:rPr>
          <w:rFonts w:hint="eastAsia"/>
        </w:rPr>
        <w:t xml:space="preserve">USD；终值占比</w:t>
      </w:r>
      <w:r>
        <w:t xml:space="preserve"> 54.5%。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36.3%</w:t>
      </w:r>
      <w:r>
        <w:rPr>
          <w:rFonts w:hint="eastAsia"/>
        </w:rPr>
        <w:t xml:space="preserve">；一致预期FY+1增速</w:t>
      </w:r>
      <w:r>
        <w:t xml:space="preserve"> 19.6%。</w:t>
      </w:r>
    </w:p>
    <w:p>
      <w:pPr>
        <w:numPr>
          <w:ilvl w:val="0"/>
          <w:numId w:val="1005"/>
        </w:numPr>
      </w:pPr>
      <w:r>
        <w:t xml:space="preserve">WACC (CAPM) = rf 5.1% + β 1.12 × ERP 5.0% = 10.7%。</w:t>
      </w:r>
    </w:p>
    <w:p>
      <w:pPr>
        <w:numPr>
          <w:ilvl w:val="0"/>
          <w:numId w:val="1005"/>
        </w:numPr>
      </w:pPr>
      <w:r>
        <w:t xml:space="preserve">SOTP segments </w:t>
      </w:r>
      <w:r>
        <w:rPr>
          <w:rFonts w:hint="eastAsia"/>
        </w:rPr>
        <w:t xml:space="preserve">分部:</w:t>
      </w:r>
      <w:r>
        <w:t xml:space="preserve">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GLW | 113.7 bn USD | 7.1x | 30.2x | 16.6% | 36.4% | 2.1% |</w:t>
      </w:r>
      <w:r>
        <w:t xml:space="preserve"> </w:t>
      </w:r>
      <w:r>
        <w:t xml:space="preserve">| COHR | 45.9 bn USD | 6.7x | 16.6x | 33.7% | 37.5% | -1.4% |</w:t>
      </w:r>
      <w:r>
        <w:t xml:space="preserve"> </w:t>
      </w:r>
      <w:r>
        <w:t xml:space="preserve">| LITE | 74.7 bn USD | 24.2x | 22.9x | 109.3% | 44.2% | 0.3% |</w:t>
      </w:r>
      <w:r>
        <w:t xml:space="preserve"> </w:t>
      </w:r>
      <w:r>
        <w:t xml:space="preserve">| CIEN | 47.2 bn USD | 7.9x | 28.0x | 37.0% | 44.1% | 1.3% |</w:t>
      </w:r>
      <w:r>
        <w:t xml:space="preserve"> </w:t>
      </w:r>
      <w:r>
        <w:t xml:space="preserve">| APH | 195.7 bn USD | 7.2x | 23.8x | 55.0% | 39.0% | 2.0%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Display weakness, fiber pricing from Chinese competition, capex </w:t>
      </w:r>
      <w:r>
        <w:rPr>
          <w:rFonts w:hint="eastAsia"/>
        </w:rPr>
        <w:t xml:space="preserve">digestion｜显示疲弱、中国光纤价格竞争、Capex消化</w:t>
      </w:r>
    </w:p>
    <w:p>
      <w:pPr>
        <w:pStyle w:val="Compact"/>
        <w:numPr>
          <w:ilvl w:val="0"/>
          <w:numId w:val="1006"/>
        </w:numPr>
      </w:pPr>
      <w:r>
        <w:rPr>
          <w:rFonts w:hint="eastAsia"/>
        </w:rPr>
        <w:t xml:space="preserve">证伪指标:</w:t>
      </w:r>
      <w:r>
        <w:t xml:space="preserve"> Optical Comms growth decelerates below enterprise market; Springboard margin targets </w:t>
      </w:r>
      <w:r>
        <w:rPr>
          <w:rFonts w:hint="eastAsia"/>
        </w:rPr>
        <w:t xml:space="preserve">missed｜光通信增速回落；Springboard利润率目标落空</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132</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1.137e+11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2.504e+09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9.379e+09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1.696e+10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2.395e+09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1.123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0.1767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0.1964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0.1964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0.1412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GLW_model_v20261017-0755.xlsx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2026-10-27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GLW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GLW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GLW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GLW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GLW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b3a2c613e67629994f68e167050b996bb476ea"/>
    <w:p>
      <w:pPr>
        <w:pStyle w:val="Heading1"/>
      </w:pPr>
      <w:r>
        <w:t xml:space="preserve">GLW Corning Incorporated — Equity Deep Dive (Professional English) v20261017-0755</w:t>
      </w:r>
    </w:p>
    <w:p>
      <w:pPr>
        <w:pStyle w:val="BlockText"/>
      </w:pPr>
      <w:r>
        <w:t xml:space="preserve">Data as of 2026-10-17 07:55 SGT | Price $132.00 | Mkt cap 113.7 bn USD | Reporting currency USD | Not investment advice.</w:t>
      </w:r>
    </w:p>
    <w:bookmarkStart w:id="39" w:name="investment-thesis-hypothesis"/>
    <w:p>
      <w:pPr>
        <w:pStyle w:val="Heading2"/>
      </w:pPr>
      <w:r>
        <w:t xml:space="preserve">1. Investment thesis (HYPOTHESIS)</w:t>
      </w:r>
    </w:p>
    <w:p>
      <w:pPr>
        <w:pStyle w:val="FirstParagraph"/>
      </w:pPr>
      <w:r>
        <w:t xml:space="preserve">AI clusters massively raise fiber density inside and between data centers, making Corning Optical a</w:t>
      </w:r>
      <w:r>
        <w:t xml:space="preserve"> </w:t>
      </w:r>
      <w:r>
        <w:t xml:space="preserve">‘copper-to-optics’</w:t>
      </w:r>
      <w:r>
        <w:t xml:space="preserve"> </w:t>
      </w:r>
      <w:r>
        <w:t xml:space="preserve">beneficiary; its Springboard plan targets margin expansion.</w:t>
      </w:r>
    </w:p>
    <w:p>
      <w:pPr>
        <w:pStyle w:val="Compact"/>
        <w:numPr>
          <w:ilvl w:val="0"/>
          <w:numId w:val="1009"/>
        </w:numPr>
      </w:pPr>
      <w:r>
        <w:rPr>
          <w:b/>
          <w:bCs/>
        </w:rPr>
        <w:t xml:space="preserve">Bull drivers</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9"/>
        </w:numPr>
      </w:pPr>
      <w:r>
        <w:rPr>
          <w:b/>
          <w:bCs/>
        </w:rPr>
        <w:t xml:space="preserve">Bear drivers</w:t>
      </w:r>
      <w:r>
        <w:t xml:space="preserve">: Display weakness, fiber pricing from Chinese competition, capex </w:t>
      </w:r>
      <w:r>
        <w:rPr>
          <w:rFonts w:hint="eastAsia"/>
        </w:rPr>
        <w:t xml:space="preserve">digestion｜显示疲弱、中国光纤价格竞争、Capex消化</w:t>
      </w:r>
    </w:p>
    <w:p>
      <w:pPr>
        <w:pStyle w:val="Compact"/>
        <w:numPr>
          <w:ilvl w:val="0"/>
          <w:numId w:val="1009"/>
        </w:numPr>
      </w:pPr>
      <w:r>
        <w:rPr>
          <w:b/>
          <w:bCs/>
        </w:rPr>
        <w:t xml:space="preserve">Falsifiers</w:t>
      </w:r>
      <w:r>
        <w:t xml:space="preserve">: Optical Comms growth decelerates below enterprise market; Springboard margin targets </w:t>
      </w:r>
      <w:r>
        <w:rPr>
          <w:rFonts w:hint="eastAsia"/>
        </w:rPr>
        <w:t xml:space="preserve">missed｜光通信增速回落；Springboard利润率目标落空</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fiber / specialty glass </w:t>
      </w:r>
      <w:r>
        <w:rPr>
          <w:rFonts w:hint="eastAsia"/>
        </w:rPr>
        <w:t xml:space="preserve">光纤/特种玻璃</w:t>
      </w:r>
      <w:r>
        <w:t xml:space="preserve"> |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p>
    <w:p>
      <w:pPr>
        <w:pStyle w:val="Compact"/>
        <w:numPr>
          <w:ilvl w:val="0"/>
          <w:numId w:val="1010"/>
        </w:numPr>
      </w:pPr>
      <w:r>
        <w:t xml:space="preserve">Business description (DATA):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10"/>
        </w:numPr>
      </w:pPr>
      <w:r>
        <w:t xml:space="preserve">Customers: Hyperscalers &amp; carriers (fiber/connectivity), Samsung/LG/BOE (display), Apple (cover </w:t>
      </w:r>
      <w:r>
        <w:rPr>
          <w:rFonts w:hint="eastAsia"/>
        </w:rPr>
        <w:t xml:space="preserve">glass)｜云厂与电信商、面板厂、苹果</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Raw materials (silica, germanium), energy; in-house glass </w:t>
      </w:r>
      <w:r>
        <w:rPr>
          <w:rFonts w:hint="eastAsia"/>
        </w:rPr>
        <w:t xml:space="preserve">tech｜原材料(硅、锗)、能源；自有玻璃工艺</w:t>
      </w:r>
    </w:p>
    <w:p>
      <w:pPr>
        <w:pStyle w:val="Compact"/>
        <w:numPr>
          <w:ilvl w:val="0"/>
          <w:numId w:val="1011"/>
        </w:numPr>
      </w:pPr>
      <w:r>
        <w:t xml:space="preserve">Competitors: Prysmian, Fujikura, Sumitomo, YOFC (fiber); AGC, NEG </w:t>
      </w:r>
      <w:r>
        <w:rPr>
          <w:rFonts w:hint="eastAsia"/>
        </w:rPr>
        <w:t xml:space="preserve">(glass)｜普睿司曼、藤仓、住友、长飞；旭硝子、日本电气硝子</w:t>
      </w:r>
    </w:p>
    <w:p>
      <w:pPr>
        <w:pStyle w:val="Compact"/>
        <w:numPr>
          <w:ilvl w:val="0"/>
          <w:numId w:val="1011"/>
        </w:numPr>
      </w:pPr>
      <w:r>
        <w:t xml:space="preserve">Bottlenecks/regulation: High-density fiber/cable capacity for AI data centers; preform </w:t>
      </w:r>
      <w:r>
        <w:rPr>
          <w:rFonts w:hint="eastAsia"/>
        </w:rPr>
        <w:t xml:space="preserve">capacity｜AI数据中心高密度光纤/光缆产能、预制棒产能</w:t>
      </w:r>
    </w:p>
    <w:p>
      <w:pPr>
        <w:pStyle w:val="Compact"/>
        <w:numPr>
          <w:ilvl w:val="0"/>
          <w:numId w:val="1011"/>
        </w:numPr>
      </w:pPr>
      <w:r>
        <w:t xml:space="preserve">KPIs: Optical Comms sales, core op margin, enterprise network </w:t>
      </w:r>
      <w:r>
        <w:rPr>
          <w:rFonts w:hint="eastAsia"/>
        </w:rPr>
        <w:t xml:space="preserve">growth｜光通信销售、核心营业利润率、企业网络增速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t xml:space="preserve">Cash 2.5 bn USD; debt 9.4 bn USD; TTM FCF 2.4 bn USD (FCF margin 14.1%).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2026-10-27</w:t>
      </w:r>
      <w:r>
        <w:t xml:space="preserve">; current-quarter EPS consensus 0.87717 (13 analysts); revenue consensus 5.0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$35.82</w:t>
            </w:r>
          </w:p>
        </w:tc>
        <w:tc>
          <w:tcPr/>
          <w:p>
            <w:pPr>
              <w:pStyle w:val="Compact"/>
            </w:pPr>
            <w:r>
              <w:t xml:space="preserve">-72.9%</w:t>
            </w:r>
          </w:p>
        </w:tc>
      </w:tr>
      <w:tr>
        <w:tc>
          <w:tcPr/>
          <w:p>
            <w:pPr>
              <w:pStyle w:val="Compact"/>
            </w:pPr>
            <w:r>
              <w:t xml:space="preserve">2Q</w:t>
            </w:r>
          </w:p>
        </w:tc>
        <w:tc>
          <w:tcPr/>
          <w:p>
            <w:pPr>
              <w:pStyle w:val="Compact"/>
            </w:pPr>
            <w:r>
              <w:t xml:space="preserve">Base</w:t>
            </w:r>
          </w:p>
        </w:tc>
        <w:tc>
          <w:tcPr/>
          <w:p>
            <w:pPr>
              <w:pStyle w:val="Compact"/>
            </w:pPr>
            <w:r>
              <w:t xml:space="preserve">$80.48</w:t>
            </w:r>
          </w:p>
        </w:tc>
        <w:tc>
          <w:tcPr/>
          <w:p>
            <w:pPr>
              <w:pStyle w:val="Compact"/>
            </w:pPr>
            <w:r>
              <w:t xml:space="preserve">-39.0%</w:t>
            </w:r>
          </w:p>
        </w:tc>
      </w:tr>
      <w:tr>
        <w:tc>
          <w:tcPr/>
          <w:p>
            <w:pPr>
              <w:pStyle w:val="Compact"/>
            </w:pPr>
            <w:r>
              <w:t xml:space="preserve">2Q</w:t>
            </w:r>
          </w:p>
        </w:tc>
        <w:tc>
          <w:tcPr/>
          <w:p>
            <w:pPr>
              <w:pStyle w:val="Compact"/>
            </w:pPr>
            <w:r>
              <w:t xml:space="preserve">Bull</w:t>
            </w:r>
          </w:p>
        </w:tc>
        <w:tc>
          <w:tcPr/>
          <w:p>
            <w:pPr>
              <w:pStyle w:val="Compact"/>
            </w:pPr>
            <w:r>
              <w:t xml:space="preserve">$131.45</w:t>
            </w:r>
          </w:p>
        </w:tc>
        <w:tc>
          <w:tcPr/>
          <w:p>
            <w:pPr>
              <w:pStyle w:val="Compact"/>
            </w:pPr>
            <w:r>
              <w:t xml:space="preserve">-0.4%</w:t>
            </w:r>
          </w:p>
        </w:tc>
      </w:tr>
      <w:tr>
        <w:tc>
          <w:tcPr/>
          <w:p>
            <w:pPr>
              <w:pStyle w:val="Compact"/>
            </w:pPr>
            <w:r>
              <w:t xml:space="preserve">4Q</w:t>
            </w:r>
          </w:p>
        </w:tc>
        <w:tc>
          <w:tcPr/>
          <w:p>
            <w:pPr>
              <w:pStyle w:val="Compact"/>
            </w:pPr>
            <w:r>
              <w:t xml:space="preserve">Bear</w:t>
            </w:r>
          </w:p>
        </w:tc>
        <w:tc>
          <w:tcPr/>
          <w:p>
            <w:pPr>
              <w:pStyle w:val="Compact"/>
            </w:pPr>
            <w:r>
              <w:t xml:space="preserve">$35.18</w:t>
            </w:r>
          </w:p>
        </w:tc>
        <w:tc>
          <w:tcPr/>
          <w:p>
            <w:pPr>
              <w:pStyle w:val="Compact"/>
            </w:pPr>
            <w:r>
              <w:t xml:space="preserve">-73.3%</w:t>
            </w:r>
          </w:p>
        </w:tc>
      </w:tr>
      <w:tr>
        <w:tc>
          <w:tcPr/>
          <w:p>
            <w:pPr>
              <w:pStyle w:val="Compact"/>
            </w:pPr>
            <w:r>
              <w:t xml:space="preserve">4Q</w:t>
            </w:r>
          </w:p>
        </w:tc>
        <w:tc>
          <w:tcPr/>
          <w:p>
            <w:pPr>
              <w:pStyle w:val="Compact"/>
            </w:pPr>
            <w:r>
              <w:t xml:space="preserve">Base</w:t>
            </w:r>
          </w:p>
        </w:tc>
        <w:tc>
          <w:tcPr/>
          <w:p>
            <w:pPr>
              <w:pStyle w:val="Compact"/>
            </w:pPr>
            <w:r>
              <w:t xml:space="preserve">$84.90</w:t>
            </w:r>
          </w:p>
        </w:tc>
        <w:tc>
          <w:tcPr/>
          <w:p>
            <w:pPr>
              <w:pStyle w:val="Compact"/>
            </w:pPr>
            <w:r>
              <w:t xml:space="preserve">-35.7%</w:t>
            </w:r>
          </w:p>
        </w:tc>
      </w:tr>
      <w:tr>
        <w:tc>
          <w:tcPr/>
          <w:p>
            <w:pPr>
              <w:pStyle w:val="Compact"/>
            </w:pPr>
            <w:r>
              <w:t xml:space="preserve">4Q</w:t>
            </w:r>
          </w:p>
        </w:tc>
        <w:tc>
          <w:tcPr/>
          <w:p>
            <w:pPr>
              <w:pStyle w:val="Compact"/>
            </w:pPr>
            <w:r>
              <w:t xml:space="preserve">Bull</w:t>
            </w:r>
          </w:p>
        </w:tc>
        <w:tc>
          <w:tcPr/>
          <w:p>
            <w:pPr>
              <w:pStyle w:val="Compact"/>
            </w:pPr>
            <w:r>
              <w:t xml:space="preserve">$144.24</w:t>
            </w:r>
          </w:p>
        </w:tc>
        <w:tc>
          <w:tcPr/>
          <w:p>
            <w:pPr>
              <w:pStyle w:val="Compact"/>
            </w:pPr>
            <w:r>
              <w:t xml:space="preserve">9.3%</w:t>
            </w:r>
          </w:p>
        </w:tc>
      </w:tr>
      <w:tr>
        <w:tc>
          <w:tcPr/>
          <w:p>
            <w:pPr>
              <w:pStyle w:val="Compact"/>
            </w:pPr>
            <w:r>
              <w:t xml:space="preserve">6Q</w:t>
            </w:r>
          </w:p>
        </w:tc>
        <w:tc>
          <w:tcPr/>
          <w:p>
            <w:pPr>
              <w:pStyle w:val="Compact"/>
            </w:pPr>
            <w:r>
              <w:t xml:space="preserve">Bear</w:t>
            </w:r>
          </w:p>
        </w:tc>
        <w:tc>
          <w:tcPr/>
          <w:p>
            <w:pPr>
              <w:pStyle w:val="Compact"/>
            </w:pPr>
            <w:r>
              <w:t xml:space="preserve">$34.53</w:t>
            </w:r>
          </w:p>
        </w:tc>
        <w:tc>
          <w:tcPr/>
          <w:p>
            <w:pPr>
              <w:pStyle w:val="Compact"/>
            </w:pPr>
            <w:r>
              <w:t xml:space="preserve">-73.8%</w:t>
            </w:r>
          </w:p>
        </w:tc>
      </w:tr>
      <w:tr>
        <w:tc>
          <w:tcPr/>
          <w:p>
            <w:pPr>
              <w:pStyle w:val="Compact"/>
            </w:pPr>
            <w:r>
              <w:t xml:space="preserve">6Q</w:t>
            </w:r>
          </w:p>
        </w:tc>
        <w:tc>
          <w:tcPr/>
          <w:p>
            <w:pPr>
              <w:pStyle w:val="Compact"/>
            </w:pPr>
            <w:r>
              <w:t xml:space="preserve">Base</w:t>
            </w:r>
          </w:p>
        </w:tc>
        <w:tc>
          <w:tcPr/>
          <w:p>
            <w:pPr>
              <w:pStyle w:val="Compact"/>
            </w:pPr>
            <w:r>
              <w:t xml:space="preserve">$89.48</w:t>
            </w:r>
          </w:p>
        </w:tc>
        <w:tc>
          <w:tcPr/>
          <w:p>
            <w:pPr>
              <w:pStyle w:val="Compact"/>
            </w:pPr>
            <w:r>
              <w:t xml:space="preserve">-32.2%</w:t>
            </w:r>
          </w:p>
        </w:tc>
      </w:tr>
      <w:tr>
        <w:tc>
          <w:tcPr/>
          <w:p>
            <w:pPr>
              <w:pStyle w:val="Compact"/>
            </w:pPr>
            <w:r>
              <w:t xml:space="preserve">6Q</w:t>
            </w:r>
          </w:p>
        </w:tc>
        <w:tc>
          <w:tcPr/>
          <w:p>
            <w:pPr>
              <w:pStyle w:val="Compact"/>
            </w:pPr>
            <w:r>
              <w:t xml:space="preserve">Bull</w:t>
            </w:r>
          </w:p>
        </w:tc>
        <w:tc>
          <w:tcPr/>
          <w:p>
            <w:pPr>
              <w:pStyle w:val="Compact"/>
            </w:pPr>
            <w:r>
              <w:t xml:space="preserve">$158.06</w:t>
            </w:r>
          </w:p>
        </w:tc>
        <w:tc>
          <w:tcPr/>
          <w:p>
            <w:pPr>
              <w:pStyle w:val="Compact"/>
            </w:pPr>
            <w:r>
              <w:t xml:space="preserve">19.7%</w:t>
            </w:r>
          </w:p>
        </w:tc>
      </w:tr>
      <w:tr>
        <w:tc>
          <w:tcPr/>
          <w:p>
            <w:pPr>
              <w:pStyle w:val="Compact"/>
            </w:pPr>
            <w:r>
              <w:t xml:space="preserve">8Q</w:t>
            </w:r>
          </w:p>
        </w:tc>
        <w:tc>
          <w:tcPr/>
          <w:p>
            <w:pPr>
              <w:pStyle w:val="Compact"/>
            </w:pPr>
            <w:r>
              <w:t xml:space="preserve">Bear</w:t>
            </w:r>
          </w:p>
        </w:tc>
        <w:tc>
          <w:tcPr/>
          <w:p>
            <w:pPr>
              <w:pStyle w:val="Compact"/>
            </w:pPr>
            <w:r>
              <w:t xml:space="preserve">$33.88</w:t>
            </w:r>
          </w:p>
        </w:tc>
        <w:tc>
          <w:tcPr/>
          <w:p>
            <w:pPr>
              <w:pStyle w:val="Compact"/>
            </w:pPr>
            <w:r>
              <w:t xml:space="preserve">-74.3%</w:t>
            </w:r>
          </w:p>
        </w:tc>
      </w:tr>
      <w:tr>
        <w:tc>
          <w:tcPr/>
          <w:p>
            <w:pPr>
              <w:pStyle w:val="Compact"/>
            </w:pPr>
            <w:r>
              <w:t xml:space="preserve">8Q</w:t>
            </w:r>
          </w:p>
        </w:tc>
        <w:tc>
          <w:tcPr/>
          <w:p>
            <w:pPr>
              <w:pStyle w:val="Compact"/>
            </w:pPr>
            <w:r>
              <w:t xml:space="preserve">Base</w:t>
            </w:r>
          </w:p>
        </w:tc>
        <w:tc>
          <w:tcPr/>
          <w:p>
            <w:pPr>
              <w:pStyle w:val="Compact"/>
            </w:pPr>
            <w:r>
              <w:t xml:space="preserve">$94.24</w:t>
            </w:r>
          </w:p>
        </w:tc>
        <w:tc>
          <w:tcPr/>
          <w:p>
            <w:pPr>
              <w:pStyle w:val="Compact"/>
            </w:pPr>
            <w:r>
              <w:t xml:space="preserve">-28.6%</w:t>
            </w:r>
          </w:p>
        </w:tc>
      </w:tr>
      <w:tr>
        <w:tc>
          <w:tcPr/>
          <w:p>
            <w:pPr>
              <w:pStyle w:val="Compact"/>
            </w:pPr>
            <w:r>
              <w:t xml:space="preserve">8Q</w:t>
            </w:r>
          </w:p>
        </w:tc>
        <w:tc>
          <w:tcPr/>
          <w:p>
            <w:pPr>
              <w:pStyle w:val="Compact"/>
            </w:pPr>
            <w:r>
              <w:t xml:space="preserve">Bull</w:t>
            </w:r>
          </w:p>
        </w:tc>
        <w:tc>
          <w:tcPr/>
          <w:p>
            <w:pPr>
              <w:pStyle w:val="Compact"/>
            </w:pPr>
            <w:r>
              <w:t xml:space="preserve">$173.00</w:t>
            </w:r>
          </w:p>
        </w:tc>
        <w:tc>
          <w:tcPr/>
          <w:p>
            <w:pPr>
              <w:pStyle w:val="Compact"/>
            </w:pPr>
            <w:r>
              <w:t xml:space="preserve">31.1%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37.8x</w:t>
            </w:r>
          </w:p>
        </w:tc>
      </w:tr>
      <w:tr>
        <w:tc>
          <w:tcPr/>
          <w:p>
            <w:pPr>
              <w:pStyle w:val="Compact"/>
            </w:pPr>
            <w:r>
              <w:t xml:space="preserve">4Q</w:t>
            </w:r>
          </w:p>
        </w:tc>
        <w:tc>
          <w:tcPr/>
          <w:p>
            <w:pPr>
              <w:pStyle w:val="Compact"/>
            </w:pPr>
            <w:r>
              <w:t xml:space="preserve">34.3x</w:t>
            </w:r>
          </w:p>
        </w:tc>
      </w:tr>
      <w:tr>
        <w:tc>
          <w:tcPr/>
          <w:p>
            <w:pPr>
              <w:pStyle w:val="Compact"/>
            </w:pPr>
            <w:r>
              <w:t xml:space="preserve">6Q</w:t>
            </w:r>
          </w:p>
        </w:tc>
        <w:tc>
          <w:tcPr/>
          <w:p>
            <w:pPr>
              <w:pStyle w:val="Compact"/>
            </w:pPr>
            <w:r>
              <w:t xml:space="preserve">31.2x</w:t>
            </w:r>
          </w:p>
        </w:tc>
      </w:tr>
      <w:tr>
        <w:tc>
          <w:tcPr/>
          <w:p>
            <w:pPr>
              <w:pStyle w:val="Compact"/>
            </w:pPr>
            <w:r>
              <w:t xml:space="preserve">8Q</w:t>
            </w:r>
          </w:p>
        </w:tc>
        <w:tc>
          <w:tcPr/>
          <w:p>
            <w:pPr>
              <w:pStyle w:val="Compact"/>
            </w:pPr>
            <w:r>
              <w:t xml:space="preserve">28.3x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11.7%</w:t>
            </w:r>
          </w:p>
        </w:tc>
        <w:tc>
          <w:tcPr/>
          <w:p>
            <w:pPr>
              <w:pStyle w:val="Compact"/>
            </w:pPr>
            <w:r>
              <w:t xml:space="preserve">2.5%</w:t>
            </w:r>
          </w:p>
        </w:tc>
        <w:tc>
          <w:tcPr/>
          <w:p>
            <w:pPr>
              <w:pStyle w:val="Compact"/>
            </w:pPr>
            <w:r>
              <w:t xml:space="preserve">25.0%</w:t>
            </w:r>
          </w:p>
        </w:tc>
        <w:tc>
          <w:tcPr/>
          <w:p>
            <w:pPr>
              <w:pStyle w:val="Compact"/>
            </w:pPr>
            <w:r>
              <w:t xml:space="preserve">$27.79</w:t>
            </w:r>
          </w:p>
        </w:tc>
        <w:tc>
          <w:tcPr/>
          <w:p>
            <w:pPr>
              <w:pStyle w:val="Compact"/>
            </w:pPr>
            <w:r>
              <w:t xml:space="preserve">-78.9%</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10.7%</w:t>
            </w:r>
          </w:p>
        </w:tc>
        <w:tc>
          <w:tcPr/>
          <w:p>
            <w:pPr>
              <w:pStyle w:val="Compact"/>
            </w:pPr>
            <w:r>
              <w:t xml:space="preserve">3.0%</w:t>
            </w:r>
          </w:p>
        </w:tc>
        <w:tc>
          <w:tcPr/>
          <w:p>
            <w:pPr>
              <w:pStyle w:val="Compact"/>
            </w:pPr>
            <w:r>
              <w:t xml:space="preserve">50.0%</w:t>
            </w:r>
          </w:p>
        </w:tc>
        <w:tc>
          <w:tcPr/>
          <w:p>
            <w:pPr>
              <w:pStyle w:val="Compact"/>
            </w:pPr>
            <w:r>
              <w:t xml:space="preserve">$67.56</w:t>
            </w:r>
          </w:p>
        </w:tc>
        <w:tc>
          <w:tcPr/>
          <w:p>
            <w:pPr>
              <w:pStyle w:val="Compact"/>
            </w:pPr>
            <w:r>
              <w:t xml:space="preserve">-48.8%</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10.2%</w:t>
            </w:r>
          </w:p>
        </w:tc>
        <w:tc>
          <w:tcPr/>
          <w:p>
            <w:pPr>
              <w:pStyle w:val="Compact"/>
            </w:pPr>
            <w:r>
              <w:t xml:space="preserve">3.5%</w:t>
            </w:r>
          </w:p>
        </w:tc>
        <w:tc>
          <w:tcPr/>
          <w:p>
            <w:pPr>
              <w:pStyle w:val="Compact"/>
            </w:pPr>
            <w:r>
              <w:t xml:space="preserve">25.0%</w:t>
            </w:r>
          </w:p>
        </w:tc>
        <w:tc>
          <w:tcPr/>
          <w:p>
            <w:pPr>
              <w:pStyle w:val="Compact"/>
            </w:pPr>
            <w:r>
              <w:t xml:space="preserve">$115.61</w:t>
            </w:r>
          </w:p>
        </w:tc>
        <w:tc>
          <w:tcPr/>
          <w:p>
            <w:pPr>
              <w:pStyle w:val="Compact"/>
            </w:pPr>
            <w:r>
              <w:t xml:space="preserve">-12.4%</w:t>
            </w:r>
          </w:p>
        </w:tc>
      </w:tr>
    </w:tbl>
    <w:p>
      <w:pPr>
        <w:pStyle w:val="BodyText"/>
      </w:pPr>
      <w:r>
        <w:t xml:space="preserve">Probability-weighted value</w:t>
      </w:r>
      <w:r>
        <w:t xml:space="preserve"> </w:t>
      </w:r>
      <w:r>
        <w:rPr>
          <w:b/>
          <w:bCs/>
        </w:rPr>
        <w:t xml:space="preserve">$69.63</w:t>
      </w:r>
      <w:r>
        <w:t xml:space="preserve"> </w:t>
      </w:r>
      <w:r>
        <w:t xml:space="preserve">(-47.2%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65.1 bn USD; terminal share 54.5%.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36.3%</w:t>
      </w:r>
      <w:r>
        <w:t xml:space="preserve"> </w:t>
      </w:r>
      <w:r>
        <w:t xml:space="preserve">vs consensus FY+1 19.6%.</w:t>
      </w:r>
    </w:p>
    <w:p>
      <w:pPr>
        <w:pStyle w:val="Compact"/>
        <w:numPr>
          <w:ilvl w:val="0"/>
          <w:numId w:val="1013"/>
        </w:numPr>
      </w:pPr>
      <w:r>
        <w:t xml:space="preserve">WACC (CAPM) = rf 5.1% + β 1.12 × ERP 5.0% = 10.7%.</w:t>
      </w:r>
    </w:p>
    <w:p>
      <w:pPr>
        <w:pStyle w:val="Compact"/>
        <w:numPr>
          <w:ilvl w:val="0"/>
          <w:numId w:val="1013"/>
        </w:numPr>
      </w:pPr>
      <w:r>
        <w:t xml:space="preserve">SOTP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Display weakness, fiber pricing from Chinese competition, capex </w:t>
      </w:r>
      <w:r>
        <w:rPr>
          <w:rFonts w:hint="eastAsia"/>
        </w:rPr>
        <w:t xml:space="preserve">digestion｜显示疲弱、中国光纤价格竞争、Capex消化</w:t>
      </w:r>
      <w:r>
        <w:t xml:space="preserve"> | Falsifiers: Optical Comms growth decelerates below enterprise market; Springboard margin targets </w:t>
      </w:r>
      <w:r>
        <w:rPr>
          <w:rFonts w:hint="eastAsia"/>
        </w:rPr>
        <w:t xml:space="preserve">missed｜光通信增速回落；Springboard利润率目标落空</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GLW_model_v20261017-0755.xlsx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2026-10-16T23:57:23Z</dcterms:created>
  <dcterms:modified xsi:type="dcterms:W3CDTF">2026-10-16T23:57:23Z</dcterms:modified>
</cp:coreProperties>
</file>

<file path=docProps/custom.xml><?xml version="1.0" encoding="utf-8"?>
<Properties xmlns="http://schemas.openxmlformats.org/officeDocument/2006/custom-properties" xmlns:vt="http://schemas.openxmlformats.org/officeDocument/2006/docPropsVTypes"/>
</file>