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537a2683726e9e91f3ad69921fa4f65b17f26fb"/>
    <w:p>
      <w:pPr>
        <w:pStyle w:val="Heading1"/>
      </w:pPr>
      <w:r>
        <w:t xml:space="preserve">MU Micron Technology, Inc.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$878.84｜市值</w:t>
      </w:r>
      <w:r>
        <w:t xml:space="preserve"> 994.3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AI把存储从周期品部分转为结构性成长：HBM吃掉晶圆产能，挤压通用DRAM供给，推高合约价；但存储仍具强周期性，需监控供给纪律与价格拐点。</w:t>
      </w:r>
    </w:p>
    <w:p>
      <w:pPr>
        <w:pStyle w:val="Compact"/>
        <w:numPr>
          <w:ilvl w:val="0"/>
          <w:numId w:val="1001"/>
        </w:numPr>
      </w:pPr>
      <w:r>
        <w:rPr>
          <w:rFonts w:hint="eastAsia"/>
          <w:b/>
          <w:bCs/>
        </w:rPr>
        <w:t xml:space="preserve">多头驱动</w:t>
      </w:r>
      <w:r>
        <w:t xml:space="preserve">: HBM4 share gains at NVDA, DRAM contract prices keep rising, eSSD </w:t>
      </w:r>
      <w:r>
        <w:rPr>
          <w:rFonts w:hint="eastAsia"/>
        </w:rPr>
        <w:t xml:space="preserve">boom｜HBM4在NVDA份额提升、DRAM合约价续涨、企业SSD爆发</w:t>
      </w:r>
    </w:p>
    <w:p>
      <w:pPr>
        <w:pStyle w:val="Compact"/>
        <w:numPr>
          <w:ilvl w:val="0"/>
          <w:numId w:val="1001"/>
        </w:numPr>
      </w:pPr>
      <w:r>
        <w:rPr>
          <w:rFonts w:hint="eastAsia"/>
          <w:b/>
          <w:bCs/>
        </w:rPr>
        <w:t xml:space="preserve">空头驱动</w:t>
      </w:r>
      <w:r>
        <w:t xml:space="preserve">: Capacity additions 2027+ flip to oversupply; HBM price cuts; China CXMT </w:t>
      </w:r>
      <w:r>
        <w:rPr>
          <w:rFonts w:hint="eastAsia"/>
        </w:rPr>
        <w:t xml:space="preserve">expansion｜2027后扩产导致过剩、HBM降价、长鑫扩张</w:t>
      </w:r>
    </w:p>
    <w:p>
      <w:pPr>
        <w:pStyle w:val="Compact"/>
        <w:numPr>
          <w:ilvl w:val="0"/>
          <w:numId w:val="1001"/>
        </w:numPr>
      </w:pPr>
      <w:r>
        <w:rPr>
          <w:rFonts w:hint="eastAsia"/>
          <w:b/>
          <w:bCs/>
        </w:rPr>
        <w:t xml:space="preserve">证伪条件</w:t>
      </w:r>
      <w:r>
        <w:rPr>
          <w:b/>
          <w:bCs/>
        </w:rPr>
        <w:t xml:space="preserve"> Falsifiers</w:t>
      </w:r>
      <w:r>
        <w:t xml:space="preserve">: DRAM contract prices (TrendForce/DRAMeXchange) turn negative q/q; inventory days rising; HBM qualification </w:t>
      </w:r>
      <w:r>
        <w:rPr>
          <w:rFonts w:hint="eastAsia"/>
        </w:rPr>
        <w:t xml:space="preserve">setbacks｜DRAM合约价环比转负；库存天数上升；HBM认证受挫</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Memory HBM/DRAM/NAND </w:t>
      </w:r>
      <w:r>
        <w:rPr>
          <w:rFonts w:hint="eastAsia"/>
        </w:rPr>
        <w:t xml:space="preserve">存储</w:t>
      </w:r>
    </w:p>
    <w:p>
      <w:pPr>
        <w:pStyle w:val="Compact"/>
        <w:numPr>
          <w:ilvl w:val="0"/>
          <w:numId w:val="1002"/>
        </w:numPr>
      </w:pPr>
      <w:r>
        <w:rPr>
          <w:rFonts w:hint="eastAsia"/>
        </w:rPr>
        <w:t xml:space="preserve">业务分部</w:t>
      </w:r>
      <w:r>
        <w:t xml:space="preserve"> Segments: DRAM incl. HBM </w:t>
      </w:r>
      <w:r>
        <w:rPr>
          <w:rFonts w:hint="eastAsia"/>
        </w:rPr>
        <w:t xml:space="preserve">DRAM含HBM；NAND/SSD；Other</w:t>
      </w:r>
      <w:r>
        <w:t xml:space="preserve">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Micron Technology, Inc. engages in the provision of semiconductor memory and storage products in the United States, Taiwan, Mainland China, other Asia Pacific countries, Japan, Europe, and internationally. It operates through Cloud Memory Business Unit, Core Data Center Business Unit, Mobile and Client Business Unit, and Automotive and Embedded Business Unit segments. The company provides dynamic random access memory (DRAM) products, including High-Bandwidth Memory, doublie data rate, low-power DRAM, and graphics DRAM products; NAND products comprising solid state drives, managed NAND, and multi-chip packages; and NOR products. The company sells its products under the Micron brand name and private labels through its own direct sales force, sales or representative offices, as well as through distributors, retailers, and independent sales representatives. Micron Technology, Inc. was founde</w:t>
      </w:r>
    </w:p>
    <w:p>
      <w:pPr>
        <w:pStyle w:val="Compact"/>
        <w:numPr>
          <w:ilvl w:val="0"/>
          <w:numId w:val="1002"/>
        </w:numPr>
      </w:pPr>
      <w:r>
        <w:rPr>
          <w:rFonts w:hint="eastAsia"/>
        </w:rPr>
        <w:t xml:space="preserve">主要客户:</w:t>
      </w:r>
      <w:r>
        <w:t xml:space="preserve"> NVDA/AMD (HBM), hyperscalers (DDR5/eSSD), PC/phone </w:t>
      </w:r>
      <w:r>
        <w:rPr>
          <w:rFonts w:hint="eastAsia"/>
        </w:rPr>
        <w:t xml:space="preserve">OEMs｜NVDA/AMD(HBM)、云厂(DDR5/企业SSD)、PC/手机厂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ASML/AMAT/LRCX/TEL/KLAC equipment; wafers; TSMC (HBM4 base </w:t>
      </w:r>
      <w:r>
        <w:rPr>
          <w:rFonts w:hint="eastAsia"/>
        </w:rPr>
        <w:t xml:space="preserve">die)｜设备商、硅片、台积电(HBM4基底die)</w:t>
      </w:r>
    </w:p>
    <w:p>
      <w:pPr>
        <w:pStyle w:val="Compact"/>
        <w:numPr>
          <w:ilvl w:val="0"/>
          <w:numId w:val="1003"/>
        </w:numPr>
      </w:pPr>
      <w:r>
        <w:rPr>
          <w:rFonts w:hint="eastAsia"/>
        </w:rPr>
        <w:t xml:space="preserve">竞争者</w:t>
      </w:r>
      <w:r>
        <w:t xml:space="preserve"> </w:t>
      </w:r>
      <w:r>
        <w:rPr>
          <w:rFonts w:hint="eastAsia"/>
        </w:rPr>
        <w:t xml:space="preserve">(含业外):</w:t>
      </w:r>
      <w:r>
        <w:t xml:space="preserve"> SK hynix, Samsung, CXMT (China), Kioxia/SanDisk/YMTC in </w:t>
      </w:r>
      <w:r>
        <w:rPr>
          <w:rFonts w:hint="eastAsia"/>
        </w:rPr>
        <w:t xml:space="preserve">NAND｜SK海力士、三星、长鑫、铠侠/闪迪/长江存储</w:t>
      </w:r>
    </w:p>
    <w:p>
      <w:pPr>
        <w:pStyle w:val="Compact"/>
        <w:numPr>
          <w:ilvl w:val="0"/>
          <w:numId w:val="1003"/>
        </w:numPr>
      </w:pPr>
      <w:r>
        <w:rPr>
          <w:rFonts w:hint="eastAsia"/>
        </w:rPr>
        <w:t xml:space="preserve">瓶颈/监管:</w:t>
      </w:r>
      <w:r>
        <w:t xml:space="preserve"> HBM capacity (wafer trade ratio ~3x DDR5), cleanroom space, TSV/packaging </w:t>
      </w:r>
      <w:r>
        <w:rPr>
          <w:rFonts w:hint="eastAsia"/>
        </w:rPr>
        <w:t xml:space="preserve">yield｜HBM产能(晶圆消耗约DDR5的3倍)、洁净室、TSV良率</w:t>
      </w:r>
    </w:p>
    <w:p>
      <w:pPr>
        <w:pStyle w:val="Compact"/>
        <w:numPr>
          <w:ilvl w:val="0"/>
          <w:numId w:val="1003"/>
        </w:numPr>
      </w:pPr>
      <w:r>
        <w:rPr>
          <w:rFonts w:hint="eastAsia"/>
        </w:rPr>
        <w:t xml:space="preserve">关键KPI:</w:t>
      </w:r>
      <w:r>
        <w:t xml:space="preserve"> DRAM/NAND ASP, bit shipments, HBM revenue, GM%, inventory days, </w:t>
      </w:r>
      <w:r>
        <w:rPr>
          <w:rFonts w:hint="eastAsia"/>
        </w:rPr>
        <w:t xml:space="preserve">capex｜DRAM/NAND均价、位元出货、HBM收入、毛利率、库存天数、Capex</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2026-05-31</w:t>
            </w:r>
          </w:p>
        </w:tc>
        <w:tc>
          <w:tcPr/>
          <w:p>
            <w:pPr>
              <w:pStyle w:val="Compact"/>
            </w:pPr>
            <w:r>
              <w:t xml:space="preserve">41.5 bn USD</w:t>
            </w:r>
          </w:p>
        </w:tc>
        <w:tc>
          <w:tcPr/>
          <w:p>
            <w:pPr>
              <w:pStyle w:val="Compact"/>
            </w:pPr>
            <w:r>
              <w:t xml:space="preserve">35.1 bn USD</w:t>
            </w:r>
          </w:p>
        </w:tc>
        <w:tc>
          <w:tcPr/>
          <w:p>
            <w:pPr>
              <w:pStyle w:val="Compact"/>
            </w:pPr>
            <w:r>
              <w:t xml:space="preserve">33.3 bn USD</w:t>
            </w:r>
          </w:p>
        </w:tc>
        <w:tc>
          <w:tcPr/>
          <w:p>
            <w:pPr>
              <w:pStyle w:val="Compact"/>
            </w:pPr>
            <w:r>
              <w:t xml:space="preserve">28.2 bn USD</w:t>
            </w:r>
          </w:p>
        </w:tc>
        <w:tc>
          <w:tcPr/>
          <w:p>
            <w:pPr>
              <w:pStyle w:val="Compact"/>
            </w:pPr>
            <w:r>
              <w:t xml:space="preserve">17.6 bn USD</w:t>
            </w:r>
          </w:p>
        </w:tc>
        <w:tc>
          <w:tcPr/>
          <w:p>
            <w:pPr>
              <w:pStyle w:val="Compact"/>
            </w:pPr>
            <w:r>
              <w:t xml:space="preserve">80.4%</w:t>
            </w:r>
          </w:p>
        </w:tc>
      </w:tr>
      <w:tr>
        <w:tc>
          <w:tcPr/>
          <w:p>
            <w:pPr>
              <w:pStyle w:val="Compact"/>
            </w:pPr>
            <w:r>
              <w:t xml:space="preserve">2026-02-28</w:t>
            </w:r>
          </w:p>
        </w:tc>
        <w:tc>
          <w:tcPr/>
          <w:p>
            <w:pPr>
              <w:pStyle w:val="Compact"/>
            </w:pPr>
            <w:r>
              <w:t xml:space="preserve">23.9 bn USD</w:t>
            </w:r>
          </w:p>
        </w:tc>
        <w:tc>
          <w:tcPr/>
          <w:p>
            <w:pPr>
              <w:pStyle w:val="Compact"/>
            </w:pPr>
            <w:r>
              <w:t xml:space="preserve">17.8 bn USD</w:t>
            </w:r>
          </w:p>
        </w:tc>
        <w:tc>
          <w:tcPr/>
          <w:p>
            <w:pPr>
              <w:pStyle w:val="Compact"/>
            </w:pPr>
            <w:r>
              <w:t xml:space="preserve">16.1 bn USD</w:t>
            </w:r>
          </w:p>
        </w:tc>
        <w:tc>
          <w:tcPr/>
          <w:p>
            <w:pPr>
              <w:pStyle w:val="Compact"/>
            </w:pPr>
            <w:r>
              <w:t xml:space="preserve">13.8 bn USD</w:t>
            </w:r>
          </w:p>
        </w:tc>
        <w:tc>
          <w:tcPr/>
          <w:p>
            <w:pPr>
              <w:pStyle w:val="Compact"/>
            </w:pPr>
            <w:r>
              <w:t xml:space="preserve">5.5 bn USD</w:t>
            </w:r>
          </w:p>
        </w:tc>
        <w:tc>
          <w:tcPr/>
          <w:p>
            <w:pPr>
              <w:pStyle w:val="Compact"/>
            </w:pPr>
            <w:r>
              <w:t xml:space="preserve">67.6%</w:t>
            </w:r>
          </w:p>
        </w:tc>
      </w:tr>
      <w:tr>
        <w:tc>
          <w:tcPr/>
          <w:p>
            <w:pPr>
              <w:pStyle w:val="Compact"/>
            </w:pPr>
            <w:r>
              <w:t xml:space="preserve">2025-11-30</w:t>
            </w:r>
          </w:p>
        </w:tc>
        <w:tc>
          <w:tcPr/>
          <w:p>
            <w:pPr>
              <w:pStyle w:val="Compact"/>
            </w:pPr>
            <w:r>
              <w:t xml:space="preserve">13.6 bn USD</w:t>
            </w:r>
          </w:p>
        </w:tc>
        <w:tc>
          <w:tcPr/>
          <w:p>
            <w:pPr>
              <w:pStyle w:val="Compact"/>
            </w:pPr>
            <w:r>
              <w:t xml:space="preserve">7.6 bn USD</w:t>
            </w:r>
          </w:p>
        </w:tc>
        <w:tc>
          <w:tcPr/>
          <w:p>
            <w:pPr>
              <w:pStyle w:val="Compact"/>
            </w:pPr>
            <w:r>
              <w:t xml:space="preserve">6.1 bn USD</w:t>
            </w:r>
          </w:p>
        </w:tc>
        <w:tc>
          <w:tcPr/>
          <w:p>
            <w:pPr>
              <w:pStyle w:val="Compact"/>
            </w:pPr>
            <w:r>
              <w:t xml:space="preserve">5.2 bn USD</w:t>
            </w:r>
          </w:p>
        </w:tc>
        <w:tc>
          <w:tcPr/>
          <w:p>
            <w:pPr>
              <w:pStyle w:val="Compact"/>
            </w:pPr>
            <w:r>
              <w:t xml:space="preserve">3.0 bn USD</w:t>
            </w:r>
          </w:p>
        </w:tc>
        <w:tc>
          <w:tcPr/>
          <w:p>
            <w:pPr>
              <w:pStyle w:val="Compact"/>
            </w:pPr>
            <w:r>
              <w:t xml:space="preserve">45.0%</w:t>
            </w:r>
          </w:p>
        </w:tc>
      </w:tr>
      <w:tr>
        <w:tc>
          <w:tcPr/>
          <w:p>
            <w:pPr>
              <w:pStyle w:val="Compact"/>
            </w:pPr>
            <w:r>
              <w:t xml:space="preserve">2025-08-31</w:t>
            </w:r>
          </w:p>
        </w:tc>
        <w:tc>
          <w:tcPr/>
          <w:p>
            <w:pPr>
              <w:pStyle w:val="Compact"/>
            </w:pPr>
            <w:r>
              <w:t xml:space="preserve">11.3 bn USD</w:t>
            </w:r>
          </w:p>
        </w:tc>
        <w:tc>
          <w:tcPr/>
          <w:p>
            <w:pPr>
              <w:pStyle w:val="Compact"/>
            </w:pPr>
            <w:r>
              <w:t xml:space="preserve">5.1 bn USD</w:t>
            </w:r>
          </w:p>
        </w:tc>
        <w:tc>
          <w:tcPr/>
          <w:p>
            <w:pPr>
              <w:pStyle w:val="Compact"/>
            </w:pPr>
            <w:r>
              <w:t xml:space="preserve">3.7 bn USD</w:t>
            </w:r>
          </w:p>
        </w:tc>
        <w:tc>
          <w:tcPr/>
          <w:p>
            <w:pPr>
              <w:pStyle w:val="Compact"/>
            </w:pPr>
            <w:r>
              <w:t xml:space="preserve">3.2 bn USD</w:t>
            </w:r>
          </w:p>
        </w:tc>
        <w:tc>
          <w:tcPr/>
          <w:p>
            <w:pPr>
              <w:pStyle w:val="Compact"/>
            </w:pPr>
            <w:r>
              <w:t xml:space="preserve">72.0 mn USD</w:t>
            </w:r>
          </w:p>
        </w:tc>
        <w:tc>
          <w:tcPr/>
          <w:p>
            <w:pPr>
              <w:pStyle w:val="Compact"/>
            </w:pPr>
            <w:r>
              <w:t xml:space="preserve">32.6%</w:t>
            </w:r>
          </w:p>
        </w:tc>
      </w:tr>
      <w:tr>
        <w:tc>
          <w:tcPr/>
          <w:p>
            <w:pPr>
              <w:pStyle w:val="Compact"/>
            </w:pPr>
            <w:r>
              <w:t xml:space="preserve">2025-05-31</w:t>
            </w:r>
          </w:p>
        </w:tc>
        <w:tc>
          <w:tcPr/>
          <w:p>
            <w:pPr>
              <w:pStyle w:val="Compact"/>
            </w:pPr>
            <w:r>
              <w:t xml:space="preserve">9.3 bn USD</w:t>
            </w:r>
          </w:p>
        </w:tc>
        <w:tc>
          <w:tcPr/>
          <w:p>
            <w:pPr>
              <w:pStyle w:val="Compact"/>
            </w:pPr>
            <w:r>
              <w:t xml:space="preserve">3.5 bn USD</w:t>
            </w:r>
          </w:p>
        </w:tc>
        <w:tc>
          <w:tcPr/>
          <w:p>
            <w:pPr>
              <w:pStyle w:val="Compact"/>
            </w:pPr>
            <w:r>
              <w:t xml:space="preserve">2.2 bn USD</w:t>
            </w:r>
          </w:p>
        </w:tc>
        <w:tc>
          <w:tcPr/>
          <w:p>
            <w:pPr>
              <w:pStyle w:val="Compact"/>
            </w:pPr>
            <w:r>
              <w:t xml:space="preserve">1.9 bn USD</w:t>
            </w:r>
          </w:p>
        </w:tc>
        <w:tc>
          <w:tcPr/>
          <w:p>
            <w:pPr>
              <w:pStyle w:val="Compact"/>
            </w:pPr>
            <w:r>
              <w:t xml:space="preserve">1.7 bn USD</w:t>
            </w:r>
          </w:p>
        </w:tc>
        <w:tc>
          <w:tcPr/>
          <w:p>
            <w:pPr>
              <w:pStyle w:val="Compact"/>
            </w:pPr>
            <w:r>
              <w:t xml:space="preserve">23.3%</w:t>
            </w:r>
          </w:p>
        </w:tc>
      </w:tr>
    </w:tbl>
    <w:p>
      <w:pPr>
        <w:pStyle w:val="BodyText"/>
      </w:pPr>
      <w:r>
        <w:rPr>
          <w:rFonts w:hint="eastAsia"/>
        </w:rPr>
        <w:t xml:space="preserve">资产负债:</w:t>
      </w:r>
      <w:r>
        <w:t xml:space="preserve"> </w:t>
      </w:r>
      <w:r>
        <w:rPr>
          <w:rFonts w:hint="eastAsia"/>
        </w:rPr>
        <w:t xml:space="preserve">现金</w:t>
      </w:r>
      <w:r>
        <w:t xml:space="preserve"> 43.4 bn </w:t>
      </w:r>
      <w:r>
        <w:rPr>
          <w:rFonts w:hint="eastAsia"/>
        </w:rPr>
        <w:t xml:space="preserve">USD；总负债</w:t>
      </w:r>
      <w:r>
        <w:t xml:space="preserve"> 5.2 bn </w:t>
      </w:r>
      <w:r>
        <w:rPr>
          <w:rFonts w:hint="eastAsia"/>
        </w:rPr>
        <w:t xml:space="preserve">USD；净现金</w:t>
      </w:r>
      <w:r>
        <w:t xml:space="preserve"> 38.3 bn USD。TTM FCF 26.2 bn </w:t>
      </w:r>
      <w:r>
        <w:rPr>
          <w:rFonts w:hint="eastAsia"/>
        </w:rPr>
        <w:t xml:space="preserve">USD（FCF率</w:t>
      </w:r>
      <w:r>
        <w:t xml:space="preserve"> </w:t>
      </w:r>
      <w:r>
        <w:rPr>
          <w:rFonts w:hint="eastAsia"/>
        </w:rPr>
        <w:t xml:space="preserve">19.7%）。</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2025-11-30</w:t>
            </w:r>
          </w:p>
        </w:tc>
        <w:tc>
          <w:tcPr/>
          <w:p>
            <w:pPr>
              <w:pStyle w:val="Compact"/>
            </w:pPr>
            <w:r>
              <w:t xml:space="preserve">4.78</w:t>
            </w:r>
          </w:p>
        </w:tc>
        <w:tc>
          <w:tcPr/>
          <w:p>
            <w:pPr>
              <w:pStyle w:val="Compact"/>
            </w:pPr>
            <w:r>
              <w:t xml:space="preserve">3.96409</w:t>
            </w:r>
          </w:p>
        </w:tc>
        <w:tc>
          <w:tcPr/>
          <w:p>
            <w:pPr>
              <w:pStyle w:val="Compact"/>
            </w:pPr>
            <w:r>
              <w:t xml:space="preserve">0.2058</w:t>
            </w:r>
          </w:p>
        </w:tc>
      </w:tr>
      <w:tr>
        <w:tc>
          <w:tcPr/>
          <w:p>
            <w:pPr>
              <w:pStyle w:val="Compact"/>
            </w:pPr>
            <w:r>
              <w:t xml:space="preserve">2026-02-28</w:t>
            </w:r>
          </w:p>
        </w:tc>
        <w:tc>
          <w:tcPr/>
          <w:p>
            <w:pPr>
              <w:pStyle w:val="Compact"/>
            </w:pPr>
            <w:r>
              <w:t xml:space="preserve">12.2</w:t>
            </w:r>
          </w:p>
        </w:tc>
        <w:tc>
          <w:tcPr/>
          <w:p>
            <w:pPr>
              <w:pStyle w:val="Compact"/>
            </w:pPr>
            <w:r>
              <w:t xml:space="preserve">9.15866</w:t>
            </w:r>
          </w:p>
        </w:tc>
        <w:tc>
          <w:tcPr/>
          <w:p>
            <w:pPr>
              <w:pStyle w:val="Compact"/>
            </w:pPr>
            <w:r>
              <w:t xml:space="preserve">0.3321</w:t>
            </w:r>
          </w:p>
        </w:tc>
      </w:tr>
      <w:tr>
        <w:tc>
          <w:tcPr/>
          <w:p>
            <w:pPr>
              <w:pStyle w:val="Compact"/>
            </w:pPr>
            <w:r>
              <w:t xml:space="preserve">2026-05-31</w:t>
            </w:r>
          </w:p>
        </w:tc>
        <w:tc>
          <w:tcPr/>
          <w:p>
            <w:pPr>
              <w:pStyle w:val="Compact"/>
            </w:pPr>
            <w:r>
              <w:t xml:space="preserve">25.11</w:t>
            </w:r>
          </w:p>
        </w:tc>
        <w:tc>
          <w:tcPr/>
          <w:p>
            <w:pPr>
              <w:pStyle w:val="Compact"/>
            </w:pPr>
            <w:r>
              <w:t xml:space="preserve">20.68603</w:t>
            </w:r>
          </w:p>
        </w:tc>
        <w:tc>
          <w:tcPr/>
          <w:p>
            <w:pPr>
              <w:pStyle w:val="Compact"/>
            </w:pPr>
            <w:r>
              <w:t xml:space="preserve">0.2139</w:t>
            </w:r>
          </w:p>
        </w:tc>
      </w:tr>
      <w:tr>
        <w:tc>
          <w:tcPr/>
          <w:p>
            <w:pPr>
              <w:pStyle w:val="Compact"/>
            </w:pPr>
            <w:r>
              <w:t xml:space="preserve">2026-08-31</w:t>
            </w:r>
          </w:p>
        </w:tc>
        <w:tc>
          <w:tcPr/>
          <w:p>
            <w:pPr>
              <w:pStyle w:val="Compact"/>
            </w:pPr>
            <w:r>
              <w:t xml:space="preserve">33.42</w:t>
            </w:r>
          </w:p>
        </w:tc>
        <w:tc>
          <w:tcPr/>
          <w:p>
            <w:pPr>
              <w:pStyle w:val="Compact"/>
            </w:pPr>
            <w:r>
              <w:t xml:space="preserve">31.81801</w:t>
            </w:r>
          </w:p>
        </w:tc>
        <w:tc>
          <w:tcPr/>
          <w:p>
            <w:pPr>
              <w:pStyle w:val="Compact"/>
            </w:pPr>
            <w:r>
              <w:t xml:space="preserve">0.050300002</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2026-12-24</w:t>
      </w:r>
      <w:r>
        <w:rPr>
          <w:rFonts w:hint="eastAsia"/>
        </w:rPr>
        <w:t xml:space="preserve">；本季EPS一致预期</w:t>
      </w:r>
      <w:r>
        <w:t xml:space="preserve"> </w:t>
      </w:r>
      <w:r>
        <w:rPr>
          <w:rFonts w:hint="eastAsia"/>
        </w:rPr>
        <w:t xml:space="preserve">38.27861（30位分析师）；收入一致预期</w:t>
      </w:r>
      <w:r>
        <w:t xml:space="preserve"> 61.7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$419.74</w:t>
            </w:r>
          </w:p>
        </w:tc>
        <w:tc>
          <w:tcPr/>
          <w:p>
            <w:pPr>
              <w:pStyle w:val="Compact"/>
            </w:pPr>
            <w:r>
              <w:t xml:space="preserve">-52.2%</w:t>
            </w:r>
          </w:p>
        </w:tc>
      </w:tr>
      <w:tr>
        <w:tc>
          <w:tcPr/>
          <w:p>
            <w:pPr>
              <w:pStyle w:val="Compact"/>
            </w:pPr>
            <w:r>
              <w:t xml:space="preserve">2Q</w:t>
            </w:r>
          </w:p>
        </w:tc>
        <w:tc>
          <w:tcPr/>
          <w:p>
            <w:pPr>
              <w:pStyle w:val="Compact"/>
            </w:pPr>
            <w:r>
              <w:t xml:space="preserve">Base</w:t>
            </w:r>
          </w:p>
        </w:tc>
        <w:tc>
          <w:tcPr/>
          <w:p>
            <w:pPr>
              <w:pStyle w:val="Compact"/>
            </w:pPr>
            <w:r>
              <w:t xml:space="preserve">$815.87</w:t>
            </w:r>
          </w:p>
        </w:tc>
        <w:tc>
          <w:tcPr/>
          <w:p>
            <w:pPr>
              <w:pStyle w:val="Compact"/>
            </w:pPr>
            <w:r>
              <w:t xml:space="preserve">-7.2%</w:t>
            </w:r>
          </w:p>
        </w:tc>
      </w:tr>
      <w:tr>
        <w:tc>
          <w:tcPr/>
          <w:p>
            <w:pPr>
              <w:pStyle w:val="Compact"/>
            </w:pPr>
            <w:r>
              <w:t xml:space="preserve">2Q</w:t>
            </w:r>
          </w:p>
        </w:tc>
        <w:tc>
          <w:tcPr/>
          <w:p>
            <w:pPr>
              <w:pStyle w:val="Compact"/>
            </w:pPr>
            <w:r>
              <w:t xml:space="preserve">Bull</w:t>
            </w:r>
          </w:p>
        </w:tc>
        <w:tc>
          <w:tcPr/>
          <w:p>
            <w:pPr>
              <w:pStyle w:val="Compact"/>
            </w:pPr>
            <w:r>
              <w:t xml:space="preserve">$1,269.31</w:t>
            </w:r>
          </w:p>
        </w:tc>
        <w:tc>
          <w:tcPr/>
          <w:p>
            <w:pPr>
              <w:pStyle w:val="Compact"/>
            </w:pPr>
            <w:r>
              <w:t xml:space="preserve">44.4%</w:t>
            </w:r>
          </w:p>
        </w:tc>
      </w:tr>
      <w:tr>
        <w:tc>
          <w:tcPr/>
          <w:p>
            <w:pPr>
              <w:pStyle w:val="Compact"/>
            </w:pPr>
            <w:r>
              <w:t xml:space="preserve">4Q</w:t>
            </w:r>
          </w:p>
        </w:tc>
        <w:tc>
          <w:tcPr/>
          <w:p>
            <w:pPr>
              <w:pStyle w:val="Compact"/>
            </w:pPr>
            <w:r>
              <w:t xml:space="preserve">Bear</w:t>
            </w:r>
          </w:p>
        </w:tc>
        <w:tc>
          <w:tcPr/>
          <w:p>
            <w:pPr>
              <w:pStyle w:val="Compact"/>
            </w:pPr>
            <w:r>
              <w:t xml:space="preserve">$414.81</w:t>
            </w:r>
          </w:p>
        </w:tc>
        <w:tc>
          <w:tcPr/>
          <w:p>
            <w:pPr>
              <w:pStyle w:val="Compact"/>
            </w:pPr>
            <w:r>
              <w:t xml:space="preserve">-52.8%</w:t>
            </w:r>
          </w:p>
        </w:tc>
      </w:tr>
      <w:tr>
        <w:tc>
          <w:tcPr/>
          <w:p>
            <w:pPr>
              <w:pStyle w:val="Compact"/>
            </w:pPr>
            <w:r>
              <w:t xml:space="preserve">4Q</w:t>
            </w:r>
          </w:p>
        </w:tc>
        <w:tc>
          <w:tcPr/>
          <w:p>
            <w:pPr>
              <w:pStyle w:val="Compact"/>
            </w:pPr>
            <w:r>
              <w:t xml:space="preserve">Base</w:t>
            </w:r>
          </w:p>
        </w:tc>
        <w:tc>
          <w:tcPr/>
          <w:p>
            <w:pPr>
              <w:pStyle w:val="Compact"/>
            </w:pPr>
            <w:r>
              <w:t xml:space="preserve">$859.14</w:t>
            </w:r>
          </w:p>
        </w:tc>
        <w:tc>
          <w:tcPr/>
          <w:p>
            <w:pPr>
              <w:pStyle w:val="Compact"/>
            </w:pPr>
            <w:r>
              <w:t xml:space="preserve">-2.2%</w:t>
            </w:r>
          </w:p>
        </w:tc>
      </w:tr>
      <w:tr>
        <w:tc>
          <w:tcPr/>
          <w:p>
            <w:pPr>
              <w:pStyle w:val="Compact"/>
            </w:pPr>
            <w:r>
              <w:t xml:space="preserve">4Q</w:t>
            </w:r>
          </w:p>
        </w:tc>
        <w:tc>
          <w:tcPr/>
          <w:p>
            <w:pPr>
              <w:pStyle w:val="Compact"/>
            </w:pPr>
            <w:r>
              <w:t xml:space="preserve">Bull</w:t>
            </w:r>
          </w:p>
        </w:tc>
        <w:tc>
          <w:tcPr/>
          <w:p>
            <w:pPr>
              <w:pStyle w:val="Compact"/>
            </w:pPr>
            <w:r>
              <w:t xml:space="preserve">$1,388.79</w:t>
            </w:r>
          </w:p>
        </w:tc>
        <w:tc>
          <w:tcPr/>
          <w:p>
            <w:pPr>
              <w:pStyle w:val="Compact"/>
            </w:pPr>
            <w:r>
              <w:t xml:space="preserve">58.0%</w:t>
            </w:r>
          </w:p>
        </w:tc>
      </w:tr>
      <w:tr>
        <w:tc>
          <w:tcPr/>
          <w:p>
            <w:pPr>
              <w:pStyle w:val="Compact"/>
            </w:pPr>
            <w:r>
              <w:t xml:space="preserve">6Q</w:t>
            </w:r>
          </w:p>
        </w:tc>
        <w:tc>
          <w:tcPr/>
          <w:p>
            <w:pPr>
              <w:pStyle w:val="Compact"/>
            </w:pPr>
            <w:r>
              <w:t xml:space="preserve">Bear</w:t>
            </w:r>
          </w:p>
        </w:tc>
        <w:tc>
          <w:tcPr/>
          <w:p>
            <w:pPr>
              <w:pStyle w:val="Compact"/>
            </w:pPr>
            <w:r>
              <w:t xml:space="preserve">$409.87</w:t>
            </w:r>
          </w:p>
        </w:tc>
        <w:tc>
          <w:tcPr/>
          <w:p>
            <w:pPr>
              <w:pStyle w:val="Compact"/>
            </w:pPr>
            <w:r>
              <w:t xml:space="preserve">-53.4%</w:t>
            </w:r>
          </w:p>
        </w:tc>
      </w:tr>
      <w:tr>
        <w:tc>
          <w:tcPr/>
          <w:p>
            <w:pPr>
              <w:pStyle w:val="Compact"/>
            </w:pPr>
            <w:r>
              <w:t xml:space="preserve">6Q</w:t>
            </w:r>
          </w:p>
        </w:tc>
        <w:tc>
          <w:tcPr/>
          <w:p>
            <w:pPr>
              <w:pStyle w:val="Compact"/>
            </w:pPr>
            <w:r>
              <w:t xml:space="preserve">Base</w:t>
            </w:r>
          </w:p>
        </w:tc>
        <w:tc>
          <w:tcPr/>
          <w:p>
            <w:pPr>
              <w:pStyle w:val="Compact"/>
            </w:pPr>
            <w:r>
              <w:t xml:space="preserve">$903.47</w:t>
            </w:r>
          </w:p>
        </w:tc>
        <w:tc>
          <w:tcPr/>
          <w:p>
            <w:pPr>
              <w:pStyle w:val="Compact"/>
            </w:pPr>
            <w:r>
              <w:t xml:space="preserve">2.8%</w:t>
            </w:r>
          </w:p>
        </w:tc>
      </w:tr>
      <w:tr>
        <w:tc>
          <w:tcPr/>
          <w:p>
            <w:pPr>
              <w:pStyle w:val="Compact"/>
            </w:pPr>
            <w:r>
              <w:t xml:space="preserve">6Q</w:t>
            </w:r>
          </w:p>
        </w:tc>
        <w:tc>
          <w:tcPr/>
          <w:p>
            <w:pPr>
              <w:pStyle w:val="Compact"/>
            </w:pPr>
            <w:r>
              <w:t xml:space="preserve">Bull</w:t>
            </w:r>
          </w:p>
        </w:tc>
        <w:tc>
          <w:tcPr/>
          <w:p>
            <w:pPr>
              <w:pStyle w:val="Compact"/>
            </w:pPr>
            <w:r>
              <w:t xml:space="preserve">$1,515.25</w:t>
            </w:r>
          </w:p>
        </w:tc>
        <w:tc>
          <w:tcPr/>
          <w:p>
            <w:pPr>
              <w:pStyle w:val="Compact"/>
            </w:pPr>
            <w:r>
              <w:t xml:space="preserve">72.4%</w:t>
            </w:r>
          </w:p>
        </w:tc>
      </w:tr>
      <w:tr>
        <w:tc>
          <w:tcPr/>
          <w:p>
            <w:pPr>
              <w:pStyle w:val="Compact"/>
            </w:pPr>
            <w:r>
              <w:t xml:space="preserve">8Q</w:t>
            </w:r>
          </w:p>
        </w:tc>
        <w:tc>
          <w:tcPr/>
          <w:p>
            <w:pPr>
              <w:pStyle w:val="Compact"/>
            </w:pPr>
            <w:r>
              <w:t xml:space="preserve">Bear</w:t>
            </w:r>
          </w:p>
        </w:tc>
        <w:tc>
          <w:tcPr/>
          <w:p>
            <w:pPr>
              <w:pStyle w:val="Compact"/>
            </w:pPr>
            <w:r>
              <w:t xml:space="preserve">$404.93</w:t>
            </w:r>
          </w:p>
        </w:tc>
        <w:tc>
          <w:tcPr/>
          <w:p>
            <w:pPr>
              <w:pStyle w:val="Compact"/>
            </w:pPr>
            <w:r>
              <w:t xml:space="preserve">-53.9%</w:t>
            </w:r>
          </w:p>
        </w:tc>
      </w:tr>
      <w:tr>
        <w:tc>
          <w:tcPr/>
          <w:p>
            <w:pPr>
              <w:pStyle w:val="Compact"/>
            </w:pPr>
            <w:r>
              <w:t xml:space="preserve">8Q</w:t>
            </w:r>
          </w:p>
        </w:tc>
        <w:tc>
          <w:tcPr/>
          <w:p>
            <w:pPr>
              <w:pStyle w:val="Compact"/>
            </w:pPr>
            <w:r>
              <w:t xml:space="preserve">Base</w:t>
            </w:r>
          </w:p>
        </w:tc>
        <w:tc>
          <w:tcPr/>
          <w:p>
            <w:pPr>
              <w:pStyle w:val="Compact"/>
            </w:pPr>
            <w:r>
              <w:t xml:space="preserve">$948.87</w:t>
            </w:r>
          </w:p>
        </w:tc>
        <w:tc>
          <w:tcPr/>
          <w:p>
            <w:pPr>
              <w:pStyle w:val="Compact"/>
            </w:pPr>
            <w:r>
              <w:t xml:space="preserve">8.0%</w:t>
            </w:r>
          </w:p>
        </w:tc>
      </w:tr>
      <w:tr>
        <w:tc>
          <w:tcPr/>
          <w:p>
            <w:pPr>
              <w:pStyle w:val="Compact"/>
            </w:pPr>
            <w:r>
              <w:t xml:space="preserve">8Q</w:t>
            </w:r>
          </w:p>
        </w:tc>
        <w:tc>
          <w:tcPr/>
          <w:p>
            <w:pPr>
              <w:pStyle w:val="Compact"/>
            </w:pPr>
            <w:r>
              <w:t xml:space="preserve">Bull</w:t>
            </w:r>
          </w:p>
        </w:tc>
        <w:tc>
          <w:tcPr/>
          <w:p>
            <w:pPr>
              <w:pStyle w:val="Compact"/>
            </w:pPr>
            <w:r>
              <w:t xml:space="preserve">$1,649.01</w:t>
            </w:r>
          </w:p>
        </w:tc>
        <w:tc>
          <w:tcPr/>
          <w:p>
            <w:pPr>
              <w:pStyle w:val="Compact"/>
            </w:pPr>
            <w:r>
              <w:t xml:space="preserve">87.6%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25.3x</w:t>
            </w:r>
          </w:p>
        </w:tc>
      </w:tr>
      <w:tr>
        <w:tc>
          <w:tcPr/>
          <w:p>
            <w:pPr>
              <w:pStyle w:val="Compact"/>
            </w:pPr>
            <w:r>
              <w:t xml:space="preserve">4Q</w:t>
            </w:r>
          </w:p>
        </w:tc>
        <w:tc>
          <w:tcPr/>
          <w:p>
            <w:pPr>
              <w:pStyle w:val="Compact"/>
            </w:pPr>
            <w:r>
              <w:t xml:space="preserve">22.5x</w:t>
            </w:r>
          </w:p>
        </w:tc>
      </w:tr>
      <w:tr>
        <w:tc>
          <w:tcPr/>
          <w:p>
            <w:pPr>
              <w:pStyle w:val="Compact"/>
            </w:pPr>
            <w:r>
              <w:t xml:space="preserve">6Q</w:t>
            </w:r>
          </w:p>
        </w:tc>
        <w:tc>
          <w:tcPr/>
          <w:p>
            <w:pPr>
              <w:pStyle w:val="Compact"/>
            </w:pPr>
            <w:r>
              <w:t xml:space="preserve">20.1x</w:t>
            </w:r>
          </w:p>
        </w:tc>
      </w:tr>
      <w:tr>
        <w:tc>
          <w:tcPr/>
          <w:p>
            <w:pPr>
              <w:pStyle w:val="Compact"/>
            </w:pPr>
            <w:r>
              <w:t xml:space="preserve">8Q</w:t>
            </w:r>
          </w:p>
        </w:tc>
        <w:tc>
          <w:tcPr/>
          <w:p>
            <w:pPr>
              <w:pStyle w:val="Compact"/>
            </w:pPr>
            <w:r>
              <w:t xml:space="preserve">17.9x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7.9%</w:t>
            </w:r>
          </w:p>
        </w:tc>
        <w:tc>
          <w:tcPr/>
          <w:p>
            <w:pPr>
              <w:pStyle w:val="Compact"/>
            </w:pPr>
            <w:r>
              <w:t xml:space="preserve">24.0%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$329.88</w:t>
            </w:r>
          </w:p>
        </w:tc>
        <w:tc>
          <w:tcPr/>
          <w:p>
            <w:pPr>
              <w:pStyle w:val="Compact"/>
            </w:pPr>
            <w:r>
              <w:t xml:space="preserve">-62.5%</w:t>
            </w:r>
          </w:p>
        </w:tc>
      </w:tr>
      <w:tr>
        <w:tc>
          <w:tcPr/>
          <w:p>
            <w:pPr>
              <w:pStyle w:val="Compact"/>
            </w:pPr>
            <w:r>
              <w:t xml:space="preserve">Base</w:t>
            </w:r>
          </w:p>
        </w:tc>
        <w:tc>
          <w:tcPr/>
          <w:p>
            <w:pPr>
              <w:pStyle w:val="Compact"/>
            </w:pPr>
            <w:r>
              <w:t xml:space="preserve">15.7%</w:t>
            </w:r>
          </w:p>
        </w:tc>
        <w:tc>
          <w:tcPr/>
          <w:p>
            <w:pPr>
              <w:pStyle w:val="Compact"/>
            </w:pPr>
            <w:r>
              <w:t xml:space="preserve">30.0%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$592.54</w:t>
            </w:r>
          </w:p>
        </w:tc>
        <w:tc>
          <w:tcPr/>
          <w:p>
            <w:pPr>
              <w:pStyle w:val="Compact"/>
            </w:pPr>
            <w:r>
              <w:t xml:space="preserve">-32.6%</w:t>
            </w:r>
          </w:p>
        </w:tc>
      </w:tr>
      <w:tr>
        <w:tc>
          <w:tcPr/>
          <w:p>
            <w:pPr>
              <w:pStyle w:val="Compact"/>
            </w:pPr>
            <w:r>
              <w:t xml:space="preserve">Bull</w:t>
            </w:r>
          </w:p>
        </w:tc>
        <w:tc>
          <w:tcPr/>
          <w:p>
            <w:pPr>
              <w:pStyle w:val="Compact"/>
            </w:pPr>
            <w:r>
              <w:t xml:space="preserve">20.5%</w:t>
            </w:r>
          </w:p>
        </w:tc>
        <w:tc>
          <w:tcPr/>
          <w:p>
            <w:pPr>
              <w:pStyle w:val="Compact"/>
            </w:pPr>
            <w:r>
              <w:t xml:space="preserve">34.5%</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$877.85</w:t>
            </w:r>
          </w:p>
        </w:tc>
        <w:tc>
          <w:tcPr/>
          <w:p>
            <w:pPr>
              <w:pStyle w:val="Compact"/>
            </w:pPr>
            <w:r>
              <w:t xml:space="preserve">-0.1%</w:t>
            </w:r>
          </w:p>
        </w:tc>
      </w:tr>
    </w:tbl>
    <w:p>
      <w:pPr>
        <w:pStyle w:val="BodyText"/>
      </w:pPr>
      <w:r>
        <w:rPr>
          <w:rFonts w:hint="eastAsia"/>
        </w:rPr>
        <w:t xml:space="preserve">概率加权价值</w:t>
      </w:r>
      <w:r>
        <w:t xml:space="preserve"> </w:t>
      </w:r>
      <w:r>
        <w:rPr>
          <w:b/>
          <w:bCs/>
        </w:rPr>
        <w:t xml:space="preserve">$598.20</w:t>
      </w:r>
      <w:r>
        <w:rPr>
          <w:rFonts w:hint="eastAsia"/>
        </w:rPr>
        <w:t xml:space="preserve">（相对现价</w:t>
      </w:r>
      <w:r>
        <w:t xml:space="preserve"> </w:t>
      </w:r>
      <w:r>
        <w:rPr>
          <w:rFonts w:hint="eastAsia"/>
        </w:rPr>
        <w:t xml:space="preserve">-31.9%）。</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632.2 bn </w:t>
      </w:r>
      <w:r>
        <w:rPr>
          <w:rFonts w:hint="eastAsia"/>
        </w:rPr>
        <w:t xml:space="preserve">USD；终值占比</w:t>
      </w:r>
      <w:r>
        <w:t xml:space="preserve"> 45.8%。</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26.8%</w:t>
      </w:r>
      <w:r>
        <w:rPr>
          <w:rFonts w:hint="eastAsia"/>
        </w:rPr>
        <w:t xml:space="preserve">；一致预期FY+1增速</w:t>
      </w:r>
      <w:r>
        <w:t xml:space="preserve"> 15.7%。</w:t>
      </w:r>
    </w:p>
    <w:p>
      <w:pPr>
        <w:numPr>
          <w:ilvl w:val="0"/>
          <w:numId w:val="1005"/>
        </w:numPr>
      </w:pPr>
      <w:r>
        <w:t xml:space="preserve">WACC (CAPM) = rf 5.1% + β 1.60 × ERP 5.0% = 13.1%。</w:t>
      </w:r>
    </w:p>
    <w:p>
      <w:pPr>
        <w:numPr>
          <w:ilvl w:val="0"/>
          <w:numId w:val="1005"/>
        </w:numPr>
      </w:pPr>
      <w:r>
        <w:t xml:space="preserve">SOTP segments </w:t>
      </w:r>
      <w:r>
        <w:rPr>
          <w:rFonts w:hint="eastAsia"/>
        </w:rPr>
        <w:t xml:space="preserve">分部:</w:t>
      </w:r>
      <w:r>
        <w:t xml:space="preserve"> DRAM incl. HBM </w:t>
      </w:r>
      <w:r>
        <w:rPr>
          <w:rFonts w:hint="eastAsia"/>
        </w:rPr>
        <w:t xml:space="preserve">DRAM含HBM;</w:t>
      </w:r>
      <w:r>
        <w:t xml:space="preserve"> NAND/SSD; Other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MU | 994.3 bn USD | 7.2x | 4.2x | 379.3% | 80.7% | 2.6% |</w:t>
      </w:r>
      <w:r>
        <w:t xml:space="preserve"> </w:t>
      </w:r>
      <w:r>
        <w:t xml:space="preserve">| 000660.KS | 927,118.4 bn USD | 4.4x | 2.7x | 256.8% | 76.3% | 6.0% |</w:t>
      </w:r>
      <w:r>
        <w:t xml:space="preserve"> </w:t>
      </w:r>
      <w:r>
        <w:t xml:space="preserve">| 005930.KS | 1,403,319.4 bn USD | 2.6x | 3.0x | 130.0% | 57.5% | 5.0% |</w:t>
      </w:r>
      <w:r>
        <w:t xml:space="preserve"> </w:t>
      </w:r>
      <w:r>
        <w:t xml:space="preserve">| WDC | 124.3 bn USD | 9.2x | 10.0x | 43.8% | 48.9% | 1.8% |</w:t>
      </w:r>
      <w:r>
        <w:t xml:space="preserve"> </w:t>
      </w:r>
      <w:r>
        <w:t xml:space="preserve">| SNDK | 187.8 bn USD | 9.2x | 4.9x | 371.6% | 71.5% | 4.1%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Capacity additions 2027+ flip to oversupply; HBM price cuts; China CXMT </w:t>
      </w:r>
      <w:r>
        <w:rPr>
          <w:rFonts w:hint="eastAsia"/>
        </w:rPr>
        <w:t xml:space="preserve">expansion｜2027后扩产导致过剩、HBM降价、长鑫扩张</w:t>
      </w:r>
    </w:p>
    <w:p>
      <w:pPr>
        <w:pStyle w:val="Compact"/>
        <w:numPr>
          <w:ilvl w:val="0"/>
          <w:numId w:val="1006"/>
        </w:numPr>
      </w:pPr>
      <w:r>
        <w:rPr>
          <w:rFonts w:hint="eastAsia"/>
        </w:rPr>
        <w:t xml:space="preserve">证伪指标:</w:t>
      </w:r>
      <w:r>
        <w:t xml:space="preserve"> DRAM contract prices (TrendForce/DRAMeXchange) turn negative q/q; inventory days rising; HBM qualification </w:t>
      </w:r>
      <w:r>
        <w:rPr>
          <w:rFonts w:hint="eastAsia"/>
        </w:rPr>
        <w:t xml:space="preserve">setbacks｜DRAM合约价环比转负；库存天数上升；HBM认证受挫</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878.8</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9.943e+11</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4.343e+10</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5.179e+09</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1.332e+11</w:t>
            </w:r>
          </w:p>
        </w:tc>
        <w:tc>
          <w:tcPr/>
          <w:p>
            <w:pPr>
              <w:pStyle w:val="Compact"/>
            </w:pPr>
            <w:r>
              <w:t xml:space="preserve">Yahoo info.totalRevenue (TTM, USD) 2026-10-17T07:55</w:t>
            </w:r>
          </w:p>
        </w:tc>
      </w:tr>
      <w:tr>
        <w:tc>
          <w:tcPr/>
          <w:p>
            <w:pPr>
              <w:pStyle w:val="Compact"/>
            </w:pPr>
            <w:r>
              <w:t xml:space="preserve">FCF TTM </w:t>
            </w:r>
            <w:r>
              <w:rPr>
                <w:rFonts w:hint="eastAsia"/>
              </w:rPr>
              <w:t xml:space="preserve">自由现金流</w:t>
            </w:r>
          </w:p>
        </w:tc>
        <w:tc>
          <w:tcPr/>
          <w:p>
            <w:pPr>
              <w:pStyle w:val="Compact"/>
            </w:pPr>
            <w:r>
              <w:t xml:space="preserve">2.617e+10</w:t>
            </w:r>
          </w:p>
        </w:tc>
        <w:tc>
          <w:tcPr/>
          <w:p>
            <w:pPr>
              <w:pStyle w:val="Compact"/>
            </w:pPr>
            <w:r>
              <w:t xml:space="preserve">Sum of last 4 quarterly FCF (q_cash); quarters [</w:t>
            </w:r>
            <w:r>
              <w:t xml:space="preserve">‘2026-05-31’</w:t>
            </w:r>
            <w:r>
              <w:t xml:space="preserve">,</w:t>
            </w:r>
            <w:r>
              <w:t xml:space="preserve"> </w:t>
            </w:r>
            <w:r>
              <w:t xml:space="preserve">‘2026-02-28’</w:t>
            </w:r>
            <w:r>
              <w:t xml:space="preserve">,</w:t>
            </w:r>
            <w:r>
              <w:t xml:space="preserve"> </w:t>
            </w:r>
            <w:r>
              <w:t xml:space="preserve">‘2025-11-30’</w:t>
            </w:r>
            <w:r>
              <w:t xml:space="preserve">,</w:t>
            </w:r>
            <w:r>
              <w:t xml:space="preserve"> </w:t>
            </w:r>
            <w:r>
              <w:t xml:space="preserve">‘2025-08-31’</w:t>
            </w:r>
            <w:r>
              <w:t xml:space="preserve">] (USD)</w:t>
            </w:r>
          </w:p>
        </w:tc>
      </w:tr>
      <w:tr>
        <w:tc>
          <w:tcPr/>
          <w:p>
            <w:pPr>
              <w:pStyle w:val="Compact"/>
            </w:pPr>
            <w:r>
              <w:t xml:space="preserve">Beta</w:t>
            </w:r>
          </w:p>
        </w:tc>
        <w:tc>
          <w:tcPr/>
          <w:p>
            <w:pPr>
              <w:pStyle w:val="Compact"/>
            </w:pPr>
            <w:r>
              <w:t xml:space="preserve">2.226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1.069</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0.1574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0.1574</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0.1965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MU_model_v20261017-0755.xlsx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07:56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2026-12-24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MU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MU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MU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MU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MU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d9f5d90941cc6a71020d9d36084229ca41e2222"/>
    <w:p>
      <w:pPr>
        <w:pStyle w:val="Heading1"/>
      </w:pPr>
      <w:r>
        <w:t xml:space="preserve">MU Micron Technology, Inc. — Equity Deep Dive (Professional English) v20261017-0755</w:t>
      </w:r>
    </w:p>
    <w:p>
      <w:pPr>
        <w:pStyle w:val="BlockText"/>
      </w:pPr>
      <w:r>
        <w:t xml:space="preserve">Data as of 2026-10-17 07:55 SGT | Price $878.84 | Mkt cap 994.3 bn USD | Reporting currency USD | Not investment advice.</w:t>
      </w:r>
    </w:p>
    <w:bookmarkStart w:id="39" w:name="investment-thesis-hypothesis"/>
    <w:p>
      <w:pPr>
        <w:pStyle w:val="Heading2"/>
      </w:pPr>
      <w:r>
        <w:t xml:space="preserve">1. Investment thesis (HYPOTHESIS)</w:t>
      </w:r>
    </w:p>
    <w:p>
      <w:pPr>
        <w:pStyle w:val="FirstParagraph"/>
      </w:pPr>
      <w:r>
        <w:t xml:space="preserve">AI partially converts memory from a commodity cycle into structural growth: HBM consumes wafer capacity, tightening commodity DRAM and lifting contract prices. Memory remains cyclical, so supply discipline and price inflections must be monitored.</w:t>
      </w:r>
    </w:p>
    <w:p>
      <w:pPr>
        <w:pStyle w:val="Compact"/>
        <w:numPr>
          <w:ilvl w:val="0"/>
          <w:numId w:val="1009"/>
        </w:numPr>
      </w:pPr>
      <w:r>
        <w:rPr>
          <w:b/>
          <w:bCs/>
        </w:rPr>
        <w:t xml:space="preserve">Bull drivers</w:t>
      </w:r>
      <w:r>
        <w:t xml:space="preserve">: HBM4 share gains at NVDA, DRAM contract prices keep rising, eSSD </w:t>
      </w:r>
      <w:r>
        <w:rPr>
          <w:rFonts w:hint="eastAsia"/>
        </w:rPr>
        <w:t xml:space="preserve">boom｜HBM4在NVDA份额提升、DRAM合约价续涨、企业SSD爆发</w:t>
      </w:r>
    </w:p>
    <w:p>
      <w:pPr>
        <w:pStyle w:val="Compact"/>
        <w:numPr>
          <w:ilvl w:val="0"/>
          <w:numId w:val="1009"/>
        </w:numPr>
      </w:pPr>
      <w:r>
        <w:rPr>
          <w:b/>
          <w:bCs/>
        </w:rPr>
        <w:t xml:space="preserve">Bear drivers</w:t>
      </w:r>
      <w:r>
        <w:t xml:space="preserve">: Capacity additions 2027+ flip to oversupply; HBM price cuts; China CXMT </w:t>
      </w:r>
      <w:r>
        <w:rPr>
          <w:rFonts w:hint="eastAsia"/>
        </w:rPr>
        <w:t xml:space="preserve">expansion｜2027后扩产导致过剩、HBM降价、长鑫扩张</w:t>
      </w:r>
    </w:p>
    <w:p>
      <w:pPr>
        <w:pStyle w:val="Compact"/>
        <w:numPr>
          <w:ilvl w:val="0"/>
          <w:numId w:val="1009"/>
        </w:numPr>
      </w:pPr>
      <w:r>
        <w:rPr>
          <w:b/>
          <w:bCs/>
        </w:rPr>
        <w:t xml:space="preserve">Falsifiers</w:t>
      </w:r>
      <w:r>
        <w:t xml:space="preserve">: DRAM contract prices (TrendForce/DRAMeXchange) turn negative q/q; inventory days rising; HBM qualification </w:t>
      </w:r>
      <w:r>
        <w:rPr>
          <w:rFonts w:hint="eastAsia"/>
        </w:rPr>
        <w:t xml:space="preserve">setbacks｜DRAM合约价环比转负；库存天数上升；HBM认证受挫</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Memory HBM/DRAM/NAND </w:t>
      </w:r>
      <w:r>
        <w:rPr>
          <w:rFonts w:hint="eastAsia"/>
        </w:rPr>
        <w:t xml:space="preserve">存储</w:t>
      </w:r>
      <w:r>
        <w:t xml:space="preserve"> | Segments: DRAM incl. HBM </w:t>
      </w:r>
      <w:r>
        <w:rPr>
          <w:rFonts w:hint="eastAsia"/>
        </w:rPr>
        <w:t xml:space="preserve">DRAM含HBM;</w:t>
      </w:r>
      <w:r>
        <w:t xml:space="preserve"> NAND/SSD; Other </w:t>
      </w:r>
      <w:r>
        <w:rPr>
          <w:rFonts w:hint="eastAsia"/>
        </w:rPr>
        <w:t xml:space="preserve">其他</w:t>
      </w:r>
    </w:p>
    <w:p>
      <w:pPr>
        <w:pStyle w:val="Compact"/>
        <w:numPr>
          <w:ilvl w:val="0"/>
          <w:numId w:val="1010"/>
        </w:numPr>
      </w:pPr>
      <w:r>
        <w:t xml:space="preserve">Business description (DATA): Micron Technology, Inc. engages in the provision of semiconductor memory and storage products in the United States, Taiwan, Mainland China, other Asia Pacific countries, Japan, Europe, and internationally. It operates through Cloud Memory Business Unit, Core Data Center Business Unit, Mobile and Client Business Unit, and Automotive and Embedded Business Unit segments. The company provides dynamic random access memory (DRAM) products, including High-Bandwidth Memory, doublie data rate, low-power DRAM, and graphics DRAM products; NAND products comprising solid state drives, managed NAND, and multi-chip packages; and NOR products. The company sells its products under the Micron brand name and private labels through its own direct sales force, sales or representative offices, as well as through distributors, retailers, and independent sales representatives. Micron Technology, Inc. was founde</w:t>
      </w:r>
    </w:p>
    <w:p>
      <w:pPr>
        <w:pStyle w:val="Compact"/>
        <w:numPr>
          <w:ilvl w:val="0"/>
          <w:numId w:val="1010"/>
        </w:numPr>
      </w:pPr>
      <w:r>
        <w:t xml:space="preserve">Customers: NVDA/AMD (HBM), hyperscalers (DDR5/eSSD), PC/phone </w:t>
      </w:r>
      <w:r>
        <w:rPr>
          <w:rFonts w:hint="eastAsia"/>
        </w:rPr>
        <w:t xml:space="preserve">OEMs｜NVDA/AMD(HBM)、云厂(DDR5/企业SSD)、PC/手机厂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ASML/AMAT/LRCX/TEL/KLAC equipment; wafers; TSMC (HBM4 base </w:t>
      </w:r>
      <w:r>
        <w:rPr>
          <w:rFonts w:hint="eastAsia"/>
        </w:rPr>
        <w:t xml:space="preserve">die)｜设备商、硅片、台积电(HBM4基底die)</w:t>
      </w:r>
    </w:p>
    <w:p>
      <w:pPr>
        <w:pStyle w:val="Compact"/>
        <w:numPr>
          <w:ilvl w:val="0"/>
          <w:numId w:val="1011"/>
        </w:numPr>
      </w:pPr>
      <w:r>
        <w:t xml:space="preserve">Competitors: SK hynix, Samsung, CXMT (China), Kioxia/SanDisk/YMTC in </w:t>
      </w:r>
      <w:r>
        <w:rPr>
          <w:rFonts w:hint="eastAsia"/>
        </w:rPr>
        <w:t xml:space="preserve">NAND｜SK海力士、三星、长鑫、铠侠/闪迪/长江存储</w:t>
      </w:r>
    </w:p>
    <w:p>
      <w:pPr>
        <w:pStyle w:val="Compact"/>
        <w:numPr>
          <w:ilvl w:val="0"/>
          <w:numId w:val="1011"/>
        </w:numPr>
      </w:pPr>
      <w:r>
        <w:t xml:space="preserve">Bottlenecks/regulation: HBM capacity (wafer trade ratio ~3x DDR5), cleanroom space, TSV/packaging </w:t>
      </w:r>
      <w:r>
        <w:rPr>
          <w:rFonts w:hint="eastAsia"/>
        </w:rPr>
        <w:t xml:space="preserve">yield｜HBM产能(晶圆消耗约DDR5的3倍)、洁净室、TSV良率</w:t>
      </w:r>
    </w:p>
    <w:p>
      <w:pPr>
        <w:pStyle w:val="Compact"/>
        <w:numPr>
          <w:ilvl w:val="0"/>
          <w:numId w:val="1011"/>
        </w:numPr>
      </w:pPr>
      <w:r>
        <w:t xml:space="preserve">KPIs: DRAM/NAND ASP, bit shipments, HBM revenue, GM%, inventory days, </w:t>
      </w:r>
      <w:r>
        <w:rPr>
          <w:rFonts w:hint="eastAsia"/>
        </w:rPr>
        <w:t xml:space="preserve">capex｜DRAM/NAND均价、位元出货、HBM收入、毛利率、库存天数、Capex</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2026-05-31</w:t>
            </w:r>
          </w:p>
        </w:tc>
        <w:tc>
          <w:tcPr/>
          <w:p>
            <w:pPr>
              <w:pStyle w:val="Compact"/>
            </w:pPr>
            <w:r>
              <w:t xml:space="preserve">41.5 bn USD</w:t>
            </w:r>
          </w:p>
        </w:tc>
        <w:tc>
          <w:tcPr/>
          <w:p>
            <w:pPr>
              <w:pStyle w:val="Compact"/>
            </w:pPr>
            <w:r>
              <w:t xml:space="preserve">35.1 bn USD</w:t>
            </w:r>
          </w:p>
        </w:tc>
        <w:tc>
          <w:tcPr/>
          <w:p>
            <w:pPr>
              <w:pStyle w:val="Compact"/>
            </w:pPr>
            <w:r>
              <w:t xml:space="preserve">33.3 bn USD</w:t>
            </w:r>
          </w:p>
        </w:tc>
        <w:tc>
          <w:tcPr/>
          <w:p>
            <w:pPr>
              <w:pStyle w:val="Compact"/>
            </w:pPr>
            <w:r>
              <w:t xml:space="preserve">28.2 bn USD</w:t>
            </w:r>
          </w:p>
        </w:tc>
        <w:tc>
          <w:tcPr/>
          <w:p>
            <w:pPr>
              <w:pStyle w:val="Compact"/>
            </w:pPr>
            <w:r>
              <w:t xml:space="preserve">17.6 bn USD</w:t>
            </w:r>
          </w:p>
        </w:tc>
        <w:tc>
          <w:tcPr/>
          <w:p>
            <w:pPr>
              <w:pStyle w:val="Compact"/>
            </w:pPr>
            <w:r>
              <w:t xml:space="preserve">80.4%</w:t>
            </w:r>
          </w:p>
        </w:tc>
      </w:tr>
      <w:tr>
        <w:tc>
          <w:tcPr/>
          <w:p>
            <w:pPr>
              <w:pStyle w:val="Compact"/>
            </w:pPr>
            <w:r>
              <w:t xml:space="preserve">2026-02-28</w:t>
            </w:r>
          </w:p>
        </w:tc>
        <w:tc>
          <w:tcPr/>
          <w:p>
            <w:pPr>
              <w:pStyle w:val="Compact"/>
            </w:pPr>
            <w:r>
              <w:t xml:space="preserve">23.9 bn USD</w:t>
            </w:r>
          </w:p>
        </w:tc>
        <w:tc>
          <w:tcPr/>
          <w:p>
            <w:pPr>
              <w:pStyle w:val="Compact"/>
            </w:pPr>
            <w:r>
              <w:t xml:space="preserve">17.8 bn USD</w:t>
            </w:r>
          </w:p>
        </w:tc>
        <w:tc>
          <w:tcPr/>
          <w:p>
            <w:pPr>
              <w:pStyle w:val="Compact"/>
            </w:pPr>
            <w:r>
              <w:t xml:space="preserve">16.1 bn USD</w:t>
            </w:r>
          </w:p>
        </w:tc>
        <w:tc>
          <w:tcPr/>
          <w:p>
            <w:pPr>
              <w:pStyle w:val="Compact"/>
            </w:pPr>
            <w:r>
              <w:t xml:space="preserve">13.8 bn USD</w:t>
            </w:r>
          </w:p>
        </w:tc>
        <w:tc>
          <w:tcPr/>
          <w:p>
            <w:pPr>
              <w:pStyle w:val="Compact"/>
            </w:pPr>
            <w:r>
              <w:t xml:space="preserve">5.5 bn USD</w:t>
            </w:r>
          </w:p>
        </w:tc>
        <w:tc>
          <w:tcPr/>
          <w:p>
            <w:pPr>
              <w:pStyle w:val="Compact"/>
            </w:pPr>
            <w:r>
              <w:t xml:space="preserve">67.6%</w:t>
            </w:r>
          </w:p>
        </w:tc>
      </w:tr>
      <w:tr>
        <w:tc>
          <w:tcPr/>
          <w:p>
            <w:pPr>
              <w:pStyle w:val="Compact"/>
            </w:pPr>
            <w:r>
              <w:t xml:space="preserve">2025-11-30</w:t>
            </w:r>
          </w:p>
        </w:tc>
        <w:tc>
          <w:tcPr/>
          <w:p>
            <w:pPr>
              <w:pStyle w:val="Compact"/>
            </w:pPr>
            <w:r>
              <w:t xml:space="preserve">13.6 bn USD</w:t>
            </w:r>
          </w:p>
        </w:tc>
        <w:tc>
          <w:tcPr/>
          <w:p>
            <w:pPr>
              <w:pStyle w:val="Compact"/>
            </w:pPr>
            <w:r>
              <w:t xml:space="preserve">7.6 bn USD</w:t>
            </w:r>
          </w:p>
        </w:tc>
        <w:tc>
          <w:tcPr/>
          <w:p>
            <w:pPr>
              <w:pStyle w:val="Compact"/>
            </w:pPr>
            <w:r>
              <w:t xml:space="preserve">6.1 bn USD</w:t>
            </w:r>
          </w:p>
        </w:tc>
        <w:tc>
          <w:tcPr/>
          <w:p>
            <w:pPr>
              <w:pStyle w:val="Compact"/>
            </w:pPr>
            <w:r>
              <w:t xml:space="preserve">5.2 bn USD</w:t>
            </w:r>
          </w:p>
        </w:tc>
        <w:tc>
          <w:tcPr/>
          <w:p>
            <w:pPr>
              <w:pStyle w:val="Compact"/>
            </w:pPr>
            <w:r>
              <w:t xml:space="preserve">3.0 bn USD</w:t>
            </w:r>
          </w:p>
        </w:tc>
        <w:tc>
          <w:tcPr/>
          <w:p>
            <w:pPr>
              <w:pStyle w:val="Compact"/>
            </w:pPr>
            <w:r>
              <w:t xml:space="preserve">45.0%</w:t>
            </w:r>
          </w:p>
        </w:tc>
      </w:tr>
      <w:tr>
        <w:tc>
          <w:tcPr/>
          <w:p>
            <w:pPr>
              <w:pStyle w:val="Compact"/>
            </w:pPr>
            <w:r>
              <w:t xml:space="preserve">2025-08-31</w:t>
            </w:r>
          </w:p>
        </w:tc>
        <w:tc>
          <w:tcPr/>
          <w:p>
            <w:pPr>
              <w:pStyle w:val="Compact"/>
            </w:pPr>
            <w:r>
              <w:t xml:space="preserve">11.3 bn USD</w:t>
            </w:r>
          </w:p>
        </w:tc>
        <w:tc>
          <w:tcPr/>
          <w:p>
            <w:pPr>
              <w:pStyle w:val="Compact"/>
            </w:pPr>
            <w:r>
              <w:t xml:space="preserve">5.1 bn USD</w:t>
            </w:r>
          </w:p>
        </w:tc>
        <w:tc>
          <w:tcPr/>
          <w:p>
            <w:pPr>
              <w:pStyle w:val="Compact"/>
            </w:pPr>
            <w:r>
              <w:t xml:space="preserve">3.7 bn USD</w:t>
            </w:r>
          </w:p>
        </w:tc>
        <w:tc>
          <w:tcPr/>
          <w:p>
            <w:pPr>
              <w:pStyle w:val="Compact"/>
            </w:pPr>
            <w:r>
              <w:t xml:space="preserve">3.2 bn USD</w:t>
            </w:r>
          </w:p>
        </w:tc>
        <w:tc>
          <w:tcPr/>
          <w:p>
            <w:pPr>
              <w:pStyle w:val="Compact"/>
            </w:pPr>
            <w:r>
              <w:t xml:space="preserve">72.0 mn USD</w:t>
            </w:r>
          </w:p>
        </w:tc>
        <w:tc>
          <w:tcPr/>
          <w:p>
            <w:pPr>
              <w:pStyle w:val="Compact"/>
            </w:pPr>
            <w:r>
              <w:t xml:space="preserve">32.6%</w:t>
            </w:r>
          </w:p>
        </w:tc>
      </w:tr>
      <w:tr>
        <w:tc>
          <w:tcPr/>
          <w:p>
            <w:pPr>
              <w:pStyle w:val="Compact"/>
            </w:pPr>
            <w:r>
              <w:t xml:space="preserve">2025-05-31</w:t>
            </w:r>
          </w:p>
        </w:tc>
        <w:tc>
          <w:tcPr/>
          <w:p>
            <w:pPr>
              <w:pStyle w:val="Compact"/>
            </w:pPr>
            <w:r>
              <w:t xml:space="preserve">9.3 bn USD</w:t>
            </w:r>
          </w:p>
        </w:tc>
        <w:tc>
          <w:tcPr/>
          <w:p>
            <w:pPr>
              <w:pStyle w:val="Compact"/>
            </w:pPr>
            <w:r>
              <w:t xml:space="preserve">3.5 bn USD</w:t>
            </w:r>
          </w:p>
        </w:tc>
        <w:tc>
          <w:tcPr/>
          <w:p>
            <w:pPr>
              <w:pStyle w:val="Compact"/>
            </w:pPr>
            <w:r>
              <w:t xml:space="preserve">2.2 bn USD</w:t>
            </w:r>
          </w:p>
        </w:tc>
        <w:tc>
          <w:tcPr/>
          <w:p>
            <w:pPr>
              <w:pStyle w:val="Compact"/>
            </w:pPr>
            <w:r>
              <w:t xml:space="preserve">1.9 bn USD</w:t>
            </w:r>
          </w:p>
        </w:tc>
        <w:tc>
          <w:tcPr/>
          <w:p>
            <w:pPr>
              <w:pStyle w:val="Compact"/>
            </w:pPr>
            <w:r>
              <w:t xml:space="preserve">1.7 bn USD</w:t>
            </w:r>
          </w:p>
        </w:tc>
        <w:tc>
          <w:tcPr/>
          <w:p>
            <w:pPr>
              <w:pStyle w:val="Compact"/>
            </w:pPr>
            <w:r>
              <w:t xml:space="preserve">23.3%</w:t>
            </w:r>
          </w:p>
        </w:tc>
      </w:tr>
    </w:tbl>
    <w:p>
      <w:pPr>
        <w:pStyle w:val="BodyText"/>
      </w:pPr>
      <w:r>
        <w:t xml:space="preserve">Cash 43.4 bn USD; debt 5.2 bn USD; TTM FCF 26.2 bn USD (FCF margin 19.7%).</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2025-11-30</w:t>
            </w:r>
          </w:p>
        </w:tc>
        <w:tc>
          <w:tcPr/>
          <w:p>
            <w:pPr>
              <w:pStyle w:val="Compact"/>
            </w:pPr>
            <w:r>
              <w:t xml:space="preserve">4.78</w:t>
            </w:r>
          </w:p>
        </w:tc>
        <w:tc>
          <w:tcPr/>
          <w:p>
            <w:pPr>
              <w:pStyle w:val="Compact"/>
            </w:pPr>
            <w:r>
              <w:t xml:space="preserve">3.96409</w:t>
            </w:r>
          </w:p>
        </w:tc>
        <w:tc>
          <w:tcPr/>
          <w:p>
            <w:pPr>
              <w:pStyle w:val="Compact"/>
            </w:pPr>
            <w:r>
              <w:t xml:space="preserve">0.2058</w:t>
            </w:r>
          </w:p>
        </w:tc>
      </w:tr>
      <w:tr>
        <w:tc>
          <w:tcPr/>
          <w:p>
            <w:pPr>
              <w:pStyle w:val="Compact"/>
            </w:pPr>
            <w:r>
              <w:t xml:space="preserve">2026-02-28</w:t>
            </w:r>
          </w:p>
        </w:tc>
        <w:tc>
          <w:tcPr/>
          <w:p>
            <w:pPr>
              <w:pStyle w:val="Compact"/>
            </w:pPr>
            <w:r>
              <w:t xml:space="preserve">12.2</w:t>
            </w:r>
          </w:p>
        </w:tc>
        <w:tc>
          <w:tcPr/>
          <w:p>
            <w:pPr>
              <w:pStyle w:val="Compact"/>
            </w:pPr>
            <w:r>
              <w:t xml:space="preserve">9.15866</w:t>
            </w:r>
          </w:p>
        </w:tc>
        <w:tc>
          <w:tcPr/>
          <w:p>
            <w:pPr>
              <w:pStyle w:val="Compact"/>
            </w:pPr>
            <w:r>
              <w:t xml:space="preserve">0.3321</w:t>
            </w:r>
          </w:p>
        </w:tc>
      </w:tr>
      <w:tr>
        <w:tc>
          <w:tcPr/>
          <w:p>
            <w:pPr>
              <w:pStyle w:val="Compact"/>
            </w:pPr>
            <w:r>
              <w:t xml:space="preserve">2026-05-31</w:t>
            </w:r>
          </w:p>
        </w:tc>
        <w:tc>
          <w:tcPr/>
          <w:p>
            <w:pPr>
              <w:pStyle w:val="Compact"/>
            </w:pPr>
            <w:r>
              <w:t xml:space="preserve">25.11</w:t>
            </w:r>
          </w:p>
        </w:tc>
        <w:tc>
          <w:tcPr/>
          <w:p>
            <w:pPr>
              <w:pStyle w:val="Compact"/>
            </w:pPr>
            <w:r>
              <w:t xml:space="preserve">20.68603</w:t>
            </w:r>
          </w:p>
        </w:tc>
        <w:tc>
          <w:tcPr/>
          <w:p>
            <w:pPr>
              <w:pStyle w:val="Compact"/>
            </w:pPr>
            <w:r>
              <w:t xml:space="preserve">0.2139</w:t>
            </w:r>
          </w:p>
        </w:tc>
      </w:tr>
      <w:tr>
        <w:tc>
          <w:tcPr/>
          <w:p>
            <w:pPr>
              <w:pStyle w:val="Compact"/>
            </w:pPr>
            <w:r>
              <w:t xml:space="preserve">2026-08-31</w:t>
            </w:r>
          </w:p>
        </w:tc>
        <w:tc>
          <w:tcPr/>
          <w:p>
            <w:pPr>
              <w:pStyle w:val="Compact"/>
            </w:pPr>
            <w:r>
              <w:t xml:space="preserve">33.42</w:t>
            </w:r>
          </w:p>
        </w:tc>
        <w:tc>
          <w:tcPr/>
          <w:p>
            <w:pPr>
              <w:pStyle w:val="Compact"/>
            </w:pPr>
            <w:r>
              <w:t xml:space="preserve">31.81801</w:t>
            </w:r>
          </w:p>
        </w:tc>
        <w:tc>
          <w:tcPr/>
          <w:p>
            <w:pPr>
              <w:pStyle w:val="Compact"/>
            </w:pPr>
            <w:r>
              <w:t xml:space="preserve">0.050300002</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2026-12-24</w:t>
      </w:r>
      <w:r>
        <w:t xml:space="preserve">; current-quarter EPS consensus 38.27861 (30 analysts); revenue consensus 61.7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$419.74</w:t>
            </w:r>
          </w:p>
        </w:tc>
        <w:tc>
          <w:tcPr/>
          <w:p>
            <w:pPr>
              <w:pStyle w:val="Compact"/>
            </w:pPr>
            <w:r>
              <w:t xml:space="preserve">-52.2%</w:t>
            </w:r>
          </w:p>
        </w:tc>
      </w:tr>
      <w:tr>
        <w:tc>
          <w:tcPr/>
          <w:p>
            <w:pPr>
              <w:pStyle w:val="Compact"/>
            </w:pPr>
            <w:r>
              <w:t xml:space="preserve">2Q</w:t>
            </w:r>
          </w:p>
        </w:tc>
        <w:tc>
          <w:tcPr/>
          <w:p>
            <w:pPr>
              <w:pStyle w:val="Compact"/>
            </w:pPr>
            <w:r>
              <w:t xml:space="preserve">Base</w:t>
            </w:r>
          </w:p>
        </w:tc>
        <w:tc>
          <w:tcPr/>
          <w:p>
            <w:pPr>
              <w:pStyle w:val="Compact"/>
            </w:pPr>
            <w:r>
              <w:t xml:space="preserve">$815.87</w:t>
            </w:r>
          </w:p>
        </w:tc>
        <w:tc>
          <w:tcPr/>
          <w:p>
            <w:pPr>
              <w:pStyle w:val="Compact"/>
            </w:pPr>
            <w:r>
              <w:t xml:space="preserve">-7.2%</w:t>
            </w:r>
          </w:p>
        </w:tc>
      </w:tr>
      <w:tr>
        <w:tc>
          <w:tcPr/>
          <w:p>
            <w:pPr>
              <w:pStyle w:val="Compact"/>
            </w:pPr>
            <w:r>
              <w:t xml:space="preserve">2Q</w:t>
            </w:r>
          </w:p>
        </w:tc>
        <w:tc>
          <w:tcPr/>
          <w:p>
            <w:pPr>
              <w:pStyle w:val="Compact"/>
            </w:pPr>
            <w:r>
              <w:t xml:space="preserve">Bull</w:t>
            </w:r>
          </w:p>
        </w:tc>
        <w:tc>
          <w:tcPr/>
          <w:p>
            <w:pPr>
              <w:pStyle w:val="Compact"/>
            </w:pPr>
            <w:r>
              <w:t xml:space="preserve">$1,269.31</w:t>
            </w:r>
          </w:p>
        </w:tc>
        <w:tc>
          <w:tcPr/>
          <w:p>
            <w:pPr>
              <w:pStyle w:val="Compact"/>
            </w:pPr>
            <w:r>
              <w:t xml:space="preserve">44.4%</w:t>
            </w:r>
          </w:p>
        </w:tc>
      </w:tr>
      <w:tr>
        <w:tc>
          <w:tcPr/>
          <w:p>
            <w:pPr>
              <w:pStyle w:val="Compact"/>
            </w:pPr>
            <w:r>
              <w:t xml:space="preserve">4Q</w:t>
            </w:r>
          </w:p>
        </w:tc>
        <w:tc>
          <w:tcPr/>
          <w:p>
            <w:pPr>
              <w:pStyle w:val="Compact"/>
            </w:pPr>
            <w:r>
              <w:t xml:space="preserve">Bear</w:t>
            </w:r>
          </w:p>
        </w:tc>
        <w:tc>
          <w:tcPr/>
          <w:p>
            <w:pPr>
              <w:pStyle w:val="Compact"/>
            </w:pPr>
            <w:r>
              <w:t xml:space="preserve">$414.81</w:t>
            </w:r>
          </w:p>
        </w:tc>
        <w:tc>
          <w:tcPr/>
          <w:p>
            <w:pPr>
              <w:pStyle w:val="Compact"/>
            </w:pPr>
            <w:r>
              <w:t xml:space="preserve">-52.8%</w:t>
            </w:r>
          </w:p>
        </w:tc>
      </w:tr>
      <w:tr>
        <w:tc>
          <w:tcPr/>
          <w:p>
            <w:pPr>
              <w:pStyle w:val="Compact"/>
            </w:pPr>
            <w:r>
              <w:t xml:space="preserve">4Q</w:t>
            </w:r>
          </w:p>
        </w:tc>
        <w:tc>
          <w:tcPr/>
          <w:p>
            <w:pPr>
              <w:pStyle w:val="Compact"/>
            </w:pPr>
            <w:r>
              <w:t xml:space="preserve">Base</w:t>
            </w:r>
          </w:p>
        </w:tc>
        <w:tc>
          <w:tcPr/>
          <w:p>
            <w:pPr>
              <w:pStyle w:val="Compact"/>
            </w:pPr>
            <w:r>
              <w:t xml:space="preserve">$859.14</w:t>
            </w:r>
          </w:p>
        </w:tc>
        <w:tc>
          <w:tcPr/>
          <w:p>
            <w:pPr>
              <w:pStyle w:val="Compact"/>
            </w:pPr>
            <w:r>
              <w:t xml:space="preserve">-2.2%</w:t>
            </w:r>
          </w:p>
        </w:tc>
      </w:tr>
      <w:tr>
        <w:tc>
          <w:tcPr/>
          <w:p>
            <w:pPr>
              <w:pStyle w:val="Compact"/>
            </w:pPr>
            <w:r>
              <w:t xml:space="preserve">4Q</w:t>
            </w:r>
          </w:p>
        </w:tc>
        <w:tc>
          <w:tcPr/>
          <w:p>
            <w:pPr>
              <w:pStyle w:val="Compact"/>
            </w:pPr>
            <w:r>
              <w:t xml:space="preserve">Bull</w:t>
            </w:r>
          </w:p>
        </w:tc>
        <w:tc>
          <w:tcPr/>
          <w:p>
            <w:pPr>
              <w:pStyle w:val="Compact"/>
            </w:pPr>
            <w:r>
              <w:t xml:space="preserve">$1,388.79</w:t>
            </w:r>
          </w:p>
        </w:tc>
        <w:tc>
          <w:tcPr/>
          <w:p>
            <w:pPr>
              <w:pStyle w:val="Compact"/>
            </w:pPr>
            <w:r>
              <w:t xml:space="preserve">58.0%</w:t>
            </w:r>
          </w:p>
        </w:tc>
      </w:tr>
      <w:tr>
        <w:tc>
          <w:tcPr/>
          <w:p>
            <w:pPr>
              <w:pStyle w:val="Compact"/>
            </w:pPr>
            <w:r>
              <w:t xml:space="preserve">6Q</w:t>
            </w:r>
          </w:p>
        </w:tc>
        <w:tc>
          <w:tcPr/>
          <w:p>
            <w:pPr>
              <w:pStyle w:val="Compact"/>
            </w:pPr>
            <w:r>
              <w:t xml:space="preserve">Bear</w:t>
            </w:r>
          </w:p>
        </w:tc>
        <w:tc>
          <w:tcPr/>
          <w:p>
            <w:pPr>
              <w:pStyle w:val="Compact"/>
            </w:pPr>
            <w:r>
              <w:t xml:space="preserve">$409.87</w:t>
            </w:r>
          </w:p>
        </w:tc>
        <w:tc>
          <w:tcPr/>
          <w:p>
            <w:pPr>
              <w:pStyle w:val="Compact"/>
            </w:pPr>
            <w:r>
              <w:t xml:space="preserve">-53.4%</w:t>
            </w:r>
          </w:p>
        </w:tc>
      </w:tr>
      <w:tr>
        <w:tc>
          <w:tcPr/>
          <w:p>
            <w:pPr>
              <w:pStyle w:val="Compact"/>
            </w:pPr>
            <w:r>
              <w:t xml:space="preserve">6Q</w:t>
            </w:r>
          </w:p>
        </w:tc>
        <w:tc>
          <w:tcPr/>
          <w:p>
            <w:pPr>
              <w:pStyle w:val="Compact"/>
            </w:pPr>
            <w:r>
              <w:t xml:space="preserve">Base</w:t>
            </w:r>
          </w:p>
        </w:tc>
        <w:tc>
          <w:tcPr/>
          <w:p>
            <w:pPr>
              <w:pStyle w:val="Compact"/>
            </w:pPr>
            <w:r>
              <w:t xml:space="preserve">$903.47</w:t>
            </w:r>
          </w:p>
        </w:tc>
        <w:tc>
          <w:tcPr/>
          <w:p>
            <w:pPr>
              <w:pStyle w:val="Compact"/>
            </w:pPr>
            <w:r>
              <w:t xml:space="preserve">2.8%</w:t>
            </w:r>
          </w:p>
        </w:tc>
      </w:tr>
      <w:tr>
        <w:tc>
          <w:tcPr/>
          <w:p>
            <w:pPr>
              <w:pStyle w:val="Compact"/>
            </w:pPr>
            <w:r>
              <w:t xml:space="preserve">6Q</w:t>
            </w:r>
          </w:p>
        </w:tc>
        <w:tc>
          <w:tcPr/>
          <w:p>
            <w:pPr>
              <w:pStyle w:val="Compact"/>
            </w:pPr>
            <w:r>
              <w:t xml:space="preserve">Bull</w:t>
            </w:r>
          </w:p>
        </w:tc>
        <w:tc>
          <w:tcPr/>
          <w:p>
            <w:pPr>
              <w:pStyle w:val="Compact"/>
            </w:pPr>
            <w:r>
              <w:t xml:space="preserve">$1,515.25</w:t>
            </w:r>
          </w:p>
        </w:tc>
        <w:tc>
          <w:tcPr/>
          <w:p>
            <w:pPr>
              <w:pStyle w:val="Compact"/>
            </w:pPr>
            <w:r>
              <w:t xml:space="preserve">72.4%</w:t>
            </w:r>
          </w:p>
        </w:tc>
      </w:tr>
      <w:tr>
        <w:tc>
          <w:tcPr/>
          <w:p>
            <w:pPr>
              <w:pStyle w:val="Compact"/>
            </w:pPr>
            <w:r>
              <w:t xml:space="preserve">8Q</w:t>
            </w:r>
          </w:p>
        </w:tc>
        <w:tc>
          <w:tcPr/>
          <w:p>
            <w:pPr>
              <w:pStyle w:val="Compact"/>
            </w:pPr>
            <w:r>
              <w:t xml:space="preserve">Bear</w:t>
            </w:r>
          </w:p>
        </w:tc>
        <w:tc>
          <w:tcPr/>
          <w:p>
            <w:pPr>
              <w:pStyle w:val="Compact"/>
            </w:pPr>
            <w:r>
              <w:t xml:space="preserve">$404.93</w:t>
            </w:r>
          </w:p>
        </w:tc>
        <w:tc>
          <w:tcPr/>
          <w:p>
            <w:pPr>
              <w:pStyle w:val="Compact"/>
            </w:pPr>
            <w:r>
              <w:t xml:space="preserve">-53.9%</w:t>
            </w:r>
          </w:p>
        </w:tc>
      </w:tr>
      <w:tr>
        <w:tc>
          <w:tcPr/>
          <w:p>
            <w:pPr>
              <w:pStyle w:val="Compact"/>
            </w:pPr>
            <w:r>
              <w:t xml:space="preserve">8Q</w:t>
            </w:r>
          </w:p>
        </w:tc>
        <w:tc>
          <w:tcPr/>
          <w:p>
            <w:pPr>
              <w:pStyle w:val="Compact"/>
            </w:pPr>
            <w:r>
              <w:t xml:space="preserve">Base</w:t>
            </w:r>
          </w:p>
        </w:tc>
        <w:tc>
          <w:tcPr/>
          <w:p>
            <w:pPr>
              <w:pStyle w:val="Compact"/>
            </w:pPr>
            <w:r>
              <w:t xml:space="preserve">$948.87</w:t>
            </w:r>
          </w:p>
        </w:tc>
        <w:tc>
          <w:tcPr/>
          <w:p>
            <w:pPr>
              <w:pStyle w:val="Compact"/>
            </w:pPr>
            <w:r>
              <w:t xml:space="preserve">8.0%</w:t>
            </w:r>
          </w:p>
        </w:tc>
      </w:tr>
      <w:tr>
        <w:tc>
          <w:tcPr/>
          <w:p>
            <w:pPr>
              <w:pStyle w:val="Compact"/>
            </w:pPr>
            <w:r>
              <w:t xml:space="preserve">8Q</w:t>
            </w:r>
          </w:p>
        </w:tc>
        <w:tc>
          <w:tcPr/>
          <w:p>
            <w:pPr>
              <w:pStyle w:val="Compact"/>
            </w:pPr>
            <w:r>
              <w:t xml:space="preserve">Bull</w:t>
            </w:r>
          </w:p>
        </w:tc>
        <w:tc>
          <w:tcPr/>
          <w:p>
            <w:pPr>
              <w:pStyle w:val="Compact"/>
            </w:pPr>
            <w:r>
              <w:t xml:space="preserve">$1,649.01</w:t>
            </w:r>
          </w:p>
        </w:tc>
        <w:tc>
          <w:tcPr/>
          <w:p>
            <w:pPr>
              <w:pStyle w:val="Compact"/>
            </w:pPr>
            <w:r>
              <w:t xml:space="preserve">87.6%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25.3x</w:t>
            </w:r>
          </w:p>
        </w:tc>
      </w:tr>
      <w:tr>
        <w:tc>
          <w:tcPr/>
          <w:p>
            <w:pPr>
              <w:pStyle w:val="Compact"/>
            </w:pPr>
            <w:r>
              <w:t xml:space="preserve">4Q</w:t>
            </w:r>
          </w:p>
        </w:tc>
        <w:tc>
          <w:tcPr/>
          <w:p>
            <w:pPr>
              <w:pStyle w:val="Compact"/>
            </w:pPr>
            <w:r>
              <w:t xml:space="preserve">22.5x</w:t>
            </w:r>
          </w:p>
        </w:tc>
      </w:tr>
      <w:tr>
        <w:tc>
          <w:tcPr/>
          <w:p>
            <w:pPr>
              <w:pStyle w:val="Compact"/>
            </w:pPr>
            <w:r>
              <w:t xml:space="preserve">6Q</w:t>
            </w:r>
          </w:p>
        </w:tc>
        <w:tc>
          <w:tcPr/>
          <w:p>
            <w:pPr>
              <w:pStyle w:val="Compact"/>
            </w:pPr>
            <w:r>
              <w:t xml:space="preserve">20.1x</w:t>
            </w:r>
          </w:p>
        </w:tc>
      </w:tr>
      <w:tr>
        <w:tc>
          <w:tcPr/>
          <w:p>
            <w:pPr>
              <w:pStyle w:val="Compact"/>
            </w:pPr>
            <w:r>
              <w:t xml:space="preserve">8Q</w:t>
            </w:r>
          </w:p>
        </w:tc>
        <w:tc>
          <w:tcPr/>
          <w:p>
            <w:pPr>
              <w:pStyle w:val="Compact"/>
            </w:pPr>
            <w:r>
              <w:t xml:space="preserve">17.9x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7.9%</w:t>
            </w:r>
          </w:p>
        </w:tc>
        <w:tc>
          <w:tcPr/>
          <w:p>
            <w:pPr>
              <w:pStyle w:val="Compact"/>
            </w:pPr>
            <w:r>
              <w:t xml:space="preserve">24.0%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$329.88</w:t>
            </w:r>
          </w:p>
        </w:tc>
        <w:tc>
          <w:tcPr/>
          <w:p>
            <w:pPr>
              <w:pStyle w:val="Compact"/>
            </w:pPr>
            <w:r>
              <w:t xml:space="preserve">-62.5%</w:t>
            </w:r>
          </w:p>
        </w:tc>
      </w:tr>
      <w:tr>
        <w:tc>
          <w:tcPr/>
          <w:p>
            <w:pPr>
              <w:pStyle w:val="Compact"/>
            </w:pPr>
            <w:r>
              <w:t xml:space="preserve">Base</w:t>
            </w:r>
          </w:p>
        </w:tc>
        <w:tc>
          <w:tcPr/>
          <w:p>
            <w:pPr>
              <w:pStyle w:val="Compact"/>
            </w:pPr>
            <w:r>
              <w:t xml:space="preserve">15.7%</w:t>
            </w:r>
          </w:p>
        </w:tc>
        <w:tc>
          <w:tcPr/>
          <w:p>
            <w:pPr>
              <w:pStyle w:val="Compact"/>
            </w:pPr>
            <w:r>
              <w:t xml:space="preserve">30.0%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$592.54</w:t>
            </w:r>
          </w:p>
        </w:tc>
        <w:tc>
          <w:tcPr/>
          <w:p>
            <w:pPr>
              <w:pStyle w:val="Compact"/>
            </w:pPr>
            <w:r>
              <w:t xml:space="preserve">-32.6%</w:t>
            </w:r>
          </w:p>
        </w:tc>
      </w:tr>
      <w:tr>
        <w:tc>
          <w:tcPr/>
          <w:p>
            <w:pPr>
              <w:pStyle w:val="Compact"/>
            </w:pPr>
            <w:r>
              <w:t xml:space="preserve">Bull</w:t>
            </w:r>
          </w:p>
        </w:tc>
        <w:tc>
          <w:tcPr/>
          <w:p>
            <w:pPr>
              <w:pStyle w:val="Compact"/>
            </w:pPr>
            <w:r>
              <w:t xml:space="preserve">20.5%</w:t>
            </w:r>
          </w:p>
        </w:tc>
        <w:tc>
          <w:tcPr/>
          <w:p>
            <w:pPr>
              <w:pStyle w:val="Compact"/>
            </w:pPr>
            <w:r>
              <w:t xml:space="preserve">34.5%</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$877.85</w:t>
            </w:r>
          </w:p>
        </w:tc>
        <w:tc>
          <w:tcPr/>
          <w:p>
            <w:pPr>
              <w:pStyle w:val="Compact"/>
            </w:pPr>
            <w:r>
              <w:t xml:space="preserve">-0.1%</w:t>
            </w:r>
          </w:p>
        </w:tc>
      </w:tr>
    </w:tbl>
    <w:p>
      <w:pPr>
        <w:pStyle w:val="BodyText"/>
      </w:pPr>
      <w:r>
        <w:t xml:space="preserve">Probability-weighted value</w:t>
      </w:r>
      <w:r>
        <w:t xml:space="preserve"> </w:t>
      </w:r>
      <w:r>
        <w:rPr>
          <w:b/>
          <w:bCs/>
        </w:rPr>
        <w:t xml:space="preserve">$598.20</w:t>
      </w:r>
      <w:r>
        <w:t xml:space="preserve"> </w:t>
      </w:r>
      <w:r>
        <w:t xml:space="preserve">(-31.9%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632.2 bn USD; terminal share 45.8%.</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26.8%</w:t>
      </w:r>
      <w:r>
        <w:t xml:space="preserve"> </w:t>
      </w:r>
      <w:r>
        <w:t xml:space="preserve">vs consensus FY+1 15.7%.</w:t>
      </w:r>
    </w:p>
    <w:p>
      <w:pPr>
        <w:pStyle w:val="Compact"/>
        <w:numPr>
          <w:ilvl w:val="0"/>
          <w:numId w:val="1013"/>
        </w:numPr>
      </w:pPr>
      <w:r>
        <w:t xml:space="preserve">WACC (CAPM) = rf 5.1% + β 1.60 × ERP 5.0% = 13.1%.</w:t>
      </w:r>
    </w:p>
    <w:p>
      <w:pPr>
        <w:pStyle w:val="Compact"/>
        <w:numPr>
          <w:ilvl w:val="0"/>
          <w:numId w:val="1013"/>
        </w:numPr>
      </w:pPr>
      <w:r>
        <w:t xml:space="preserve">SOTP segments: DRAM incl. HBM </w:t>
      </w:r>
      <w:r>
        <w:rPr>
          <w:rFonts w:hint="eastAsia"/>
        </w:rPr>
        <w:t xml:space="preserve">DRAM含HBM;</w:t>
      </w:r>
      <w:r>
        <w:t xml:space="preserve"> NAND/SSD; Other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Capacity additions 2027+ flip to oversupply; HBM price cuts; China CXMT </w:t>
      </w:r>
      <w:r>
        <w:rPr>
          <w:rFonts w:hint="eastAsia"/>
        </w:rPr>
        <w:t xml:space="preserve">expansion｜2027后扩产导致过剩、HBM降价、长鑫扩张</w:t>
      </w:r>
      <w:r>
        <w:t xml:space="preserve"> | Falsifiers: DRAM contract prices (TrendForce/DRAMeXchange) turn negative q/q; inventory days rising; HBM qualification </w:t>
      </w:r>
      <w:r>
        <w:rPr>
          <w:rFonts w:hint="eastAsia"/>
        </w:rPr>
        <w:t xml:space="preserve">setbacks｜DRAM合约价环比转负；库存天数上升；HBM认证受挫</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MU_model_v20261017-0755.xlsx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07:56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2026-10-16T23:57:19Z</dcterms:created>
  <dcterms:modified xsi:type="dcterms:W3CDTF">2026-10-16T23:57:19Z</dcterms:modified>
</cp:coreProperties>
</file>

<file path=docProps/custom.xml><?xml version="1.0" encoding="utf-8"?>
<Properties xmlns="http://schemas.openxmlformats.org/officeDocument/2006/custom-properties" xmlns:vt="http://schemas.openxmlformats.org/officeDocument/2006/docPropsVTypes"/>
</file>