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7-0755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$878.84。我们的Base模型认为每股价值约</w:t>
      </w:r>
      <w:r>
        <w:t xml:space="preserve"> </w:t>
      </w:r>
      <w:r>
        <w:rPr>
          <w:rFonts w:hint="eastAsia"/>
        </w:rPr>
        <w:t xml:space="preserve">$593（-32.6%）。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154.2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33.5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632.2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15.7%；价格隐含增速</w:t>
      </w:r>
      <w:r>
        <w:t xml:space="preserve"> 26.8%。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$330 / Base $593 / Bull </w:t>
      </w:r>
      <w:r>
        <w:rPr>
          <w:rFonts w:hint="eastAsia"/>
        </w:rPr>
        <w:t xml:space="preserve">$878；概率加权</w:t>
      </w:r>
      <w:r>
        <w:t xml:space="preserve"> $598。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62a07d6f65d325263f2c8017bed8b00ca73e6a"/>
    <w:p>
      <w:pPr>
        <w:pStyle w:val="Heading1"/>
      </w:pPr>
      <w:r>
        <w:t xml:space="preserve">MU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$878.84; our Base model value ≈ $593 (-32.6%).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15.7%; m = long-run FCF margin = 30.0%; W = 13.1%.</w:t>
      </w:r>
      <w:r>
        <w:t xml:space="preserve"> </w:t>
      </w:r>
      <w:r>
        <w:t xml:space="preserve">R₁ = R₀×(1+g₁) = 154.2 bn USD; FCF₁ = 33.5 bn USD; PV = FCF₁/(1+W) = 29.6 bn USD; 10 years + terminal → EV 632.2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15.7%; price-implied growth 26.8%.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$330 / Base $593 / Bull $878; weighted $598.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2026-10-16T23:57:19Z</dcterms:created>
  <dcterms:modified xsi:type="dcterms:W3CDTF">2026-10-16T23:57:19Z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