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5952833af7d0970f07da64d9e1c9cd4a639a7e5"/>
    <w:p>
      <w:pPr>
        <w:pStyle w:val="Heading1"/>
      </w:pPr>
      <w:r>
        <w:t xml:space="preserve">PWR Quanta Services, Inc.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$631.86｜市值</w:t>
      </w:r>
      <w:r>
        <w:t xml:space="preserve"> 95.0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Quanta是’AI→电力需求→电网投资’传导链上的劳动力瓶颈龙头；电力公司资本开支计划是领先指标。</w:t>
      </w:r>
    </w:p>
    <w:p>
      <w:pPr>
        <w:pStyle w:val="Compact"/>
        <w:numPr>
          <w:ilvl w:val="0"/>
          <w:numId w:val="1001"/>
        </w:numPr>
      </w:pPr>
      <w:r>
        <w:rPr>
          <w:rFonts w:hint="eastAsia"/>
          <w:b/>
          <w:bCs/>
        </w:rPr>
        <w:t xml:space="preserve">多头驱动</w:t>
      </w:r>
      <w:r>
        <w:t xml:space="preserve">: Utility capex plans raised; large transmission </w:t>
      </w:r>
      <w:r>
        <w:rPr>
          <w:rFonts w:hint="eastAsia"/>
        </w:rPr>
        <w:t xml:space="preserve">awards｜电力公司上调Capex；大型输电项目</w:t>
      </w:r>
    </w:p>
    <w:p>
      <w:pPr>
        <w:pStyle w:val="Compact"/>
        <w:numPr>
          <w:ilvl w:val="0"/>
          <w:numId w:val="1001"/>
        </w:numPr>
      </w:pPr>
      <w:r>
        <w:rPr>
          <w:rFonts w:hint="eastAsia"/>
          <w:b/>
          <w:bCs/>
        </w:rPr>
        <w:t xml:space="preserve">空头驱动</w:t>
      </w:r>
      <w:r>
        <w:t xml:space="preserve">: Permitting delays; renewable policy </w:t>
      </w:r>
      <w:r>
        <w:rPr>
          <w:rFonts w:hint="eastAsia"/>
        </w:rPr>
        <w:t xml:space="preserve">reversal｜审批延迟；可再生政策逆转</w:t>
      </w:r>
    </w:p>
    <w:p>
      <w:pPr>
        <w:pStyle w:val="Compact"/>
        <w:numPr>
          <w:ilvl w:val="0"/>
          <w:numId w:val="1001"/>
        </w:numPr>
      </w:pPr>
      <w:r>
        <w:rPr>
          <w:rFonts w:hint="eastAsia"/>
          <w:b/>
          <w:bCs/>
        </w:rPr>
        <w:t xml:space="preserve">证伪条件</w:t>
      </w:r>
      <w:r>
        <w:rPr>
          <w:b/>
          <w:bCs/>
        </w:rPr>
        <w:t xml:space="preserve"> Falsifiers</w:t>
      </w:r>
      <w:r>
        <w:t xml:space="preserve">: Backlog growth stalls; utility capex </w:t>
      </w:r>
      <w:r>
        <w:rPr>
          <w:rFonts w:hint="eastAsia"/>
        </w:rPr>
        <w:t xml:space="preserve">cut｜积压停滞；电力Capex下修</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Power grid / utility infrastructure </w:t>
      </w:r>
      <w:r>
        <w:rPr>
          <w:rFonts w:hint="eastAsia"/>
        </w:rPr>
        <w:t xml:space="preserve">电网基建</w:t>
      </w:r>
    </w:p>
    <w:p>
      <w:pPr>
        <w:pStyle w:val="Compact"/>
        <w:numPr>
          <w:ilvl w:val="0"/>
          <w:numId w:val="1002"/>
        </w:numPr>
      </w:pPr>
      <w:r>
        <w:rPr>
          <w:rFonts w:hint="eastAsia"/>
        </w:rPr>
        <w:t xml:space="preserve">业务分部</w:t>
      </w:r>
      <w:r>
        <w:t xml:space="preserve"> Segments: Electric infrastructure </w:t>
      </w:r>
      <w:r>
        <w:rPr>
          <w:rFonts w:hint="eastAsia"/>
        </w:rPr>
        <w:t xml:space="preserve">电力基础设施；Renewable</w:t>
      </w:r>
      <w:r>
        <w:t xml:space="preserve"> infrastructure </w:t>
      </w:r>
      <w:r>
        <w:rPr>
          <w:rFonts w:hint="eastAsia"/>
        </w:rPr>
        <w:t xml:space="preserve">可再生能源；Underground</w:t>
      </w:r>
      <w:r>
        <w:t xml:space="preserve"> utility </w:t>
      </w:r>
      <w:r>
        <w:rPr>
          <w:rFonts w:hint="eastAsia"/>
        </w:rPr>
        <w:t xml:space="preserve">地下管线</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Quanta Services, Inc. offers infrastructure solutions for the electric and gas utility, power generation, load center, manufacturing, communications, pipeline, and energy industries. The company’s Electric Infrastructure Solutions segment engages in the design, procurement, construction, upgrade, repair, and maintenance of electric power transmission and distribution infrastructure and substation facilities; installation, maintenance, and upgrade of electric power infrastructure projects; installation of smart grid technologies on electric power networks; and design, installation, maintenance, and repair of commercial and industrial wirings. This segment offers aviation; emergency aerial firefighting services; emergency restoration; and other engineering and technical services; design and construction solutions to wireline and wireless communications, cable multi-system operators, techno</w:t>
      </w:r>
    </w:p>
    <w:p>
      <w:pPr>
        <w:pStyle w:val="Compact"/>
        <w:numPr>
          <w:ilvl w:val="0"/>
          <w:numId w:val="1002"/>
        </w:numPr>
      </w:pPr>
      <w:r>
        <w:rPr>
          <w:rFonts w:hint="eastAsia"/>
        </w:rPr>
        <w:t xml:space="preserve">主要客户:</w:t>
      </w:r>
      <w:r>
        <w:t xml:space="preserve"> Utilities, hyperscalers (via utilities), renewable </w:t>
      </w:r>
      <w:r>
        <w:rPr>
          <w:rFonts w:hint="eastAsia"/>
        </w:rPr>
        <w:t xml:space="preserve">developers｜电力公司、云厂、可再生开发商</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Labor (linemen), transformers, </w:t>
      </w:r>
      <w:r>
        <w:rPr>
          <w:rFonts w:hint="eastAsia"/>
        </w:rPr>
        <w:t xml:space="preserve">cable｜线路工人、变压器、电缆</w:t>
      </w:r>
    </w:p>
    <w:p>
      <w:pPr>
        <w:pStyle w:val="Compact"/>
        <w:numPr>
          <w:ilvl w:val="0"/>
          <w:numId w:val="1003"/>
        </w:numPr>
      </w:pPr>
      <w:r>
        <w:rPr>
          <w:rFonts w:hint="eastAsia"/>
        </w:rPr>
        <w:t xml:space="preserve">竞争者</w:t>
      </w:r>
      <w:r>
        <w:t xml:space="preserve"> </w:t>
      </w:r>
      <w:r>
        <w:rPr>
          <w:rFonts w:hint="eastAsia"/>
        </w:rPr>
        <w:t xml:space="preserve">(含业外):</w:t>
      </w:r>
      <w:r>
        <w:t xml:space="preserve"> MasTec, MYR, Primoris, utility in-house </w:t>
      </w:r>
      <w:r>
        <w:rPr>
          <w:rFonts w:hint="eastAsia"/>
        </w:rPr>
        <w:t xml:space="preserve">crews｜MasTec、MYR、Primoris</w:t>
      </w:r>
    </w:p>
    <w:p>
      <w:pPr>
        <w:pStyle w:val="Compact"/>
        <w:numPr>
          <w:ilvl w:val="0"/>
          <w:numId w:val="1003"/>
        </w:numPr>
      </w:pPr>
      <w:r>
        <w:rPr>
          <w:rFonts w:hint="eastAsia"/>
        </w:rPr>
        <w:t xml:space="preserve">瓶颈/监管:</w:t>
      </w:r>
      <w:r>
        <w:t xml:space="preserve"> Interconnection queues, transformer lead times, skilled </w:t>
      </w:r>
      <w:r>
        <w:rPr>
          <w:rFonts w:hint="eastAsia"/>
        </w:rPr>
        <w:t xml:space="preserve">labor｜并网排队、变压器交期、技工</w:t>
      </w:r>
    </w:p>
    <w:p>
      <w:pPr>
        <w:pStyle w:val="Compact"/>
        <w:numPr>
          <w:ilvl w:val="0"/>
          <w:numId w:val="1003"/>
        </w:numPr>
      </w:pPr>
      <w:r>
        <w:rPr>
          <w:rFonts w:hint="eastAsia"/>
        </w:rPr>
        <w:t xml:space="preserve">关键KPI:</w:t>
      </w:r>
      <w:r>
        <w:t xml:space="preserve"> Backlog, adj. EBITDA margin, electric segment </w:t>
      </w:r>
      <w:r>
        <w:rPr>
          <w:rFonts w:hint="eastAsia"/>
        </w:rPr>
        <w:t xml:space="preserve">growth｜积压订单、调整后EBITDA利润率、电力业务增速</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9.6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0.9 bn USD</w:t>
            </w:r>
          </w:p>
        </w:tc>
        <w:tc>
          <w:tcPr/>
          <w:p>
            <w:pPr>
              <w:pStyle w:val="Compact"/>
            </w:pPr>
            <w:r>
              <w:t xml:space="preserve">7.2%</w:t>
            </w:r>
          </w:p>
        </w:tc>
      </w:tr>
      <w:tr>
        <w:tc>
          <w:tcPr/>
          <w:p>
            <w:pPr>
              <w:pStyle w:val="Compact"/>
            </w:pPr>
            <w:r>
              <w:t xml:space="preserve">2026-03-31</w:t>
            </w:r>
          </w:p>
        </w:tc>
        <w:tc>
          <w:tcPr/>
          <w:p>
            <w:pPr>
              <w:pStyle w:val="Compact"/>
            </w:pPr>
            <w:r>
              <w:t xml:space="preserve">7.9 bn USD</w:t>
            </w:r>
          </w:p>
        </w:tc>
        <w:tc>
          <w:tcPr/>
          <w:p>
            <w:pPr>
              <w:pStyle w:val="Compact"/>
            </w:pPr>
            <w:r>
              <w:t xml:space="preserve">1.1 bn USD</w:t>
            </w:r>
          </w:p>
        </w:tc>
        <w:tc>
          <w:tcPr/>
          <w:p>
            <w:pPr>
              <w:pStyle w:val="Compact"/>
            </w:pPr>
            <w:r>
              <w:t xml:space="preserve">0.3 bn USD</w:t>
            </w:r>
          </w:p>
        </w:tc>
        <w:tc>
          <w:tcPr/>
          <w:p>
            <w:pPr>
              <w:pStyle w:val="Compact"/>
            </w:pPr>
            <w:r>
              <w:t xml:space="preserve">0.2 bn USD</w:t>
            </w:r>
          </w:p>
        </w:tc>
        <w:tc>
          <w:tcPr/>
          <w:p>
            <w:pPr>
              <w:pStyle w:val="Compact"/>
            </w:pPr>
            <w:r>
              <w:t xml:space="preserve">0.2 bn USD</w:t>
            </w:r>
          </w:p>
        </w:tc>
        <w:tc>
          <w:tcPr/>
          <w:p>
            <w:pPr>
              <w:pStyle w:val="Compact"/>
            </w:pPr>
            <w:r>
              <w:t xml:space="preserve">4.2%</w:t>
            </w:r>
          </w:p>
        </w:tc>
      </w:tr>
      <w:tr>
        <w:tc>
          <w:tcPr/>
          <w:p>
            <w:pPr>
              <w:pStyle w:val="Compact"/>
            </w:pPr>
            <w:r>
              <w:t xml:space="preserve">2025-12-31</w:t>
            </w:r>
          </w:p>
        </w:tc>
        <w:tc>
          <w:tcPr/>
          <w:p>
            <w:pPr>
              <w:pStyle w:val="Compact"/>
            </w:pPr>
            <w:r>
              <w:t xml:space="preserve">7.8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0.9 bn USD</w:t>
            </w:r>
          </w:p>
        </w:tc>
        <w:tc>
          <w:tcPr/>
          <w:p>
            <w:pPr>
              <w:pStyle w:val="Compact"/>
            </w:pPr>
            <w:r>
              <w:t xml:space="preserve">6.1%</w:t>
            </w:r>
          </w:p>
        </w:tc>
      </w:tr>
      <w:tr>
        <w:tc>
          <w:tcPr/>
          <w:p>
            <w:pPr>
              <w:pStyle w:val="Compact"/>
            </w:pPr>
            <w:r>
              <w:t xml:space="preserve">2025-09-30</w:t>
            </w:r>
          </w:p>
        </w:tc>
        <w:tc>
          <w:tcPr/>
          <w:p>
            <w:pPr>
              <w:pStyle w:val="Compact"/>
            </w:pPr>
            <w:r>
              <w:t xml:space="preserve">7.6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0.4 bn USD</w:t>
            </w:r>
          </w:p>
        </w:tc>
        <w:tc>
          <w:tcPr/>
          <w:p>
            <w:pPr>
              <w:pStyle w:val="Compact"/>
            </w:pPr>
            <w:r>
              <w:t xml:space="preserve">6.7%</w:t>
            </w:r>
          </w:p>
        </w:tc>
      </w:tr>
      <w:tr>
        <w:tc>
          <w:tcPr/>
          <w:p>
            <w:pPr>
              <w:pStyle w:val="Compact"/>
            </w:pPr>
            <w:r>
              <w:t xml:space="preserve">2025-06-30</w:t>
            </w:r>
          </w:p>
        </w:tc>
        <w:tc>
          <w:tcPr/>
          <w:p>
            <w:pPr>
              <w:pStyle w:val="Compact"/>
            </w:pPr>
            <w:r>
              <w:t xml:space="preserve">6.8 bn USD</w:t>
            </w:r>
          </w:p>
        </w:tc>
        <w:tc>
          <w:tcPr/>
          <w:p>
            <w:pPr>
              <w:pStyle w:val="Compact"/>
            </w:pPr>
            <w:r>
              <w:t xml:space="preserve">1.0 bn USD</w:t>
            </w:r>
          </w:p>
        </w:tc>
        <w:tc>
          <w:tcPr/>
          <w:p>
            <w:pPr>
              <w:pStyle w:val="Compact"/>
            </w:pPr>
            <w:r>
              <w:t xml:space="preserve">0.4 bn USD</w:t>
            </w:r>
          </w:p>
        </w:tc>
        <w:tc>
          <w:tcPr/>
          <w:p>
            <w:pPr>
              <w:pStyle w:val="Compact"/>
            </w:pPr>
            <w:r>
              <w:t xml:space="preserve">0.2 bn USD</w:t>
            </w:r>
          </w:p>
        </w:tc>
        <w:tc>
          <w:tcPr/>
          <w:p>
            <w:pPr>
              <w:pStyle w:val="Compact"/>
            </w:pPr>
            <w:r>
              <w:t xml:space="preserve">0.2 bn USD</w:t>
            </w:r>
          </w:p>
        </w:tc>
        <w:tc>
          <w:tcPr/>
          <w:p>
            <w:pPr>
              <w:pStyle w:val="Compact"/>
            </w:pPr>
            <w:r>
              <w:t xml:space="preserve">5.4%</w:t>
            </w:r>
          </w:p>
        </w:tc>
      </w:tr>
    </w:tbl>
    <w:p>
      <w:pPr>
        <w:pStyle w:val="BodyText"/>
      </w:pPr>
      <w:r>
        <w:rPr>
          <w:rFonts w:hint="eastAsia"/>
        </w:rPr>
        <w:t xml:space="preserve">资产负债:</w:t>
      </w:r>
      <w:r>
        <w:t xml:space="preserve"> </w:t>
      </w:r>
      <w:r>
        <w:rPr>
          <w:rFonts w:hint="eastAsia"/>
        </w:rPr>
        <w:t xml:space="preserve">现金</w:t>
      </w:r>
      <w:r>
        <w:t xml:space="preserve"> 0.5 bn </w:t>
      </w:r>
      <w:r>
        <w:rPr>
          <w:rFonts w:hint="eastAsia"/>
        </w:rPr>
        <w:t xml:space="preserve">USD；总负债</w:t>
      </w:r>
      <w:r>
        <w:t xml:space="preserve"> 6.6 bn </w:t>
      </w:r>
      <w:r>
        <w:rPr>
          <w:rFonts w:hint="eastAsia"/>
        </w:rPr>
        <w:t xml:space="preserve">USD；净现金</w:t>
      </w:r>
      <w:r>
        <w:t xml:space="preserve"> -6.1 bn USD。TTM FCF 2.4 bn </w:t>
      </w:r>
      <w:r>
        <w:rPr>
          <w:rFonts w:hint="eastAsia"/>
        </w:rPr>
        <w:t xml:space="preserve">USD（FCF率</w:t>
      </w:r>
      <w:r>
        <w:t xml:space="preserve"> </w:t>
      </w:r>
      <w:r>
        <w:rPr>
          <w:rFonts w:hint="eastAsia"/>
        </w:rPr>
        <w:t xml:space="preserve">7.3%）。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3.33</w:t>
            </w:r>
          </w:p>
        </w:tc>
        <w:tc>
          <w:tcPr/>
          <w:p>
            <w:pPr>
              <w:pStyle w:val="Compact"/>
            </w:pPr>
            <w:r>
              <w:t xml:space="preserve">3.25905</w:t>
            </w:r>
          </w:p>
        </w:tc>
        <w:tc>
          <w:tcPr/>
          <w:p>
            <w:pPr>
              <w:pStyle w:val="Compact"/>
            </w:pPr>
            <w:r>
              <w:t xml:space="preserve">0.0218</w:t>
            </w:r>
          </w:p>
        </w:tc>
      </w:tr>
      <w:tr>
        <w:tc>
          <w:tcPr/>
          <w:p>
            <w:pPr>
              <w:pStyle w:val="Compact"/>
            </w:pPr>
            <w:r>
              <w:t xml:space="preserve">2025-12-31</w:t>
            </w:r>
          </w:p>
        </w:tc>
        <w:tc>
          <w:tcPr/>
          <w:p>
            <w:pPr>
              <w:pStyle w:val="Compact"/>
            </w:pPr>
            <w:r>
              <w:t xml:space="preserve">3.16</w:t>
            </w:r>
          </w:p>
        </w:tc>
        <w:tc>
          <w:tcPr/>
          <w:p>
            <w:pPr>
              <w:pStyle w:val="Compact"/>
            </w:pPr>
            <w:r>
              <w:t xml:space="preserve">3.01855</w:t>
            </w:r>
          </w:p>
        </w:tc>
        <w:tc>
          <w:tcPr/>
          <w:p>
            <w:pPr>
              <w:pStyle w:val="Compact"/>
            </w:pPr>
            <w:r>
              <w:t xml:space="preserve">0.0469</w:t>
            </w:r>
          </w:p>
        </w:tc>
      </w:tr>
      <w:tr>
        <w:tc>
          <w:tcPr/>
          <w:p>
            <w:pPr>
              <w:pStyle w:val="Compact"/>
            </w:pPr>
            <w:r>
              <w:t xml:space="preserve">2026-03-31</w:t>
            </w:r>
          </w:p>
        </w:tc>
        <w:tc>
          <w:tcPr/>
          <w:p>
            <w:pPr>
              <w:pStyle w:val="Compact"/>
            </w:pPr>
            <w:r>
              <w:t xml:space="preserve">2.68</w:t>
            </w:r>
          </w:p>
        </w:tc>
        <w:tc>
          <w:tcPr/>
          <w:p>
            <w:pPr>
              <w:pStyle w:val="Compact"/>
            </w:pPr>
            <w:r>
              <w:t xml:space="preserve">2.03337</w:t>
            </w:r>
          </w:p>
        </w:tc>
        <w:tc>
          <w:tcPr/>
          <w:p>
            <w:pPr>
              <w:pStyle w:val="Compact"/>
            </w:pPr>
            <w:r>
              <w:t xml:space="preserve">0.318</w:t>
            </w:r>
          </w:p>
        </w:tc>
      </w:tr>
      <w:tr>
        <w:tc>
          <w:tcPr/>
          <w:p>
            <w:pPr>
              <w:pStyle w:val="Compact"/>
            </w:pPr>
            <w:r>
              <w:t xml:space="preserve">2026-06-30</w:t>
            </w:r>
          </w:p>
        </w:tc>
        <w:tc>
          <w:tcPr/>
          <w:p>
            <w:pPr>
              <w:pStyle w:val="Compact"/>
            </w:pPr>
            <w:r>
              <w:t xml:space="preserve">4.24</w:t>
            </w:r>
          </w:p>
        </w:tc>
        <w:tc>
          <w:tcPr/>
          <w:p>
            <w:pPr>
              <w:pStyle w:val="Compact"/>
            </w:pPr>
            <w:r>
              <w:t xml:space="preserve">3.30957</w:t>
            </w:r>
          </w:p>
        </w:tc>
        <w:tc>
          <w:tcPr/>
          <w:p>
            <w:pPr>
              <w:pStyle w:val="Compact"/>
            </w:pPr>
            <w:r>
              <w:t xml:space="preserve">0.2811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2026-10-29</w:t>
      </w:r>
      <w:r>
        <w:rPr>
          <w:rFonts w:hint="eastAsia"/>
        </w:rPr>
        <w:t xml:space="preserve">；本季EPS一致预期</w:t>
      </w:r>
      <w:r>
        <w:t xml:space="preserve"> </w:t>
      </w:r>
      <w:r>
        <w:rPr>
          <w:rFonts w:hint="eastAsia"/>
        </w:rPr>
        <w:t xml:space="preserve">4.99588（21位分析师）；收入一致预期</w:t>
      </w:r>
      <w:r>
        <w:t xml:space="preserve"> 10.9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$188.17</w:t>
            </w:r>
          </w:p>
        </w:tc>
        <w:tc>
          <w:tcPr/>
          <w:p>
            <w:pPr>
              <w:pStyle w:val="Compact"/>
            </w:pPr>
            <w:r>
              <w:t xml:space="preserve">-70.2%</w:t>
            </w:r>
          </w:p>
        </w:tc>
      </w:tr>
      <w:tr>
        <w:tc>
          <w:tcPr/>
          <w:p>
            <w:pPr>
              <w:pStyle w:val="Compact"/>
            </w:pPr>
            <w:r>
              <w:t xml:space="preserve">2Q</w:t>
            </w:r>
          </w:p>
        </w:tc>
        <w:tc>
          <w:tcPr/>
          <w:p>
            <w:pPr>
              <w:pStyle w:val="Compact"/>
            </w:pPr>
            <w:r>
              <w:t xml:space="preserve">Base</w:t>
            </w:r>
          </w:p>
        </w:tc>
        <w:tc>
          <w:tcPr/>
          <w:p>
            <w:pPr>
              <w:pStyle w:val="Compact"/>
            </w:pPr>
            <w:r>
              <w:t xml:space="preserve">$406.12</w:t>
            </w:r>
          </w:p>
        </w:tc>
        <w:tc>
          <w:tcPr/>
          <w:p>
            <w:pPr>
              <w:pStyle w:val="Compact"/>
            </w:pPr>
            <w:r>
              <w:t xml:space="preserve">-35.7%</w:t>
            </w:r>
          </w:p>
        </w:tc>
      </w:tr>
      <w:tr>
        <w:tc>
          <w:tcPr/>
          <w:p>
            <w:pPr>
              <w:pStyle w:val="Compact"/>
            </w:pPr>
            <w:r>
              <w:t xml:space="preserve">2Q</w:t>
            </w:r>
          </w:p>
        </w:tc>
        <w:tc>
          <w:tcPr/>
          <w:p>
            <w:pPr>
              <w:pStyle w:val="Compact"/>
            </w:pPr>
            <w:r>
              <w:t xml:space="preserve">Bull</w:t>
            </w:r>
          </w:p>
        </w:tc>
        <w:tc>
          <w:tcPr/>
          <w:p>
            <w:pPr>
              <w:pStyle w:val="Compact"/>
            </w:pPr>
            <w:r>
              <w:t xml:space="preserve">$649.80</w:t>
            </w:r>
          </w:p>
        </w:tc>
        <w:tc>
          <w:tcPr/>
          <w:p>
            <w:pPr>
              <w:pStyle w:val="Compact"/>
            </w:pPr>
            <w:r>
              <w:t xml:space="preserve">2.8%</w:t>
            </w:r>
          </w:p>
        </w:tc>
      </w:tr>
      <w:tr>
        <w:tc>
          <w:tcPr/>
          <w:p>
            <w:pPr>
              <w:pStyle w:val="Compact"/>
            </w:pPr>
            <w:r>
              <w:t xml:space="preserve">4Q</w:t>
            </w:r>
          </w:p>
        </w:tc>
        <w:tc>
          <w:tcPr/>
          <w:p>
            <w:pPr>
              <w:pStyle w:val="Compact"/>
            </w:pPr>
            <w:r>
              <w:t xml:space="preserve">Bear</w:t>
            </w:r>
          </w:p>
        </w:tc>
        <w:tc>
          <w:tcPr/>
          <w:p>
            <w:pPr>
              <w:pStyle w:val="Compact"/>
            </w:pPr>
            <w:r>
              <w:t xml:space="preserve">$177.32</w:t>
            </w:r>
          </w:p>
        </w:tc>
        <w:tc>
          <w:tcPr/>
          <w:p>
            <w:pPr>
              <w:pStyle w:val="Compact"/>
            </w:pPr>
            <w:r>
              <w:t xml:space="preserve">-71.9%</w:t>
            </w:r>
          </w:p>
        </w:tc>
      </w:tr>
      <w:tr>
        <w:tc>
          <w:tcPr/>
          <w:p>
            <w:pPr>
              <w:pStyle w:val="Compact"/>
            </w:pPr>
            <w:r>
              <w:t xml:space="preserve">4Q</w:t>
            </w:r>
          </w:p>
        </w:tc>
        <w:tc>
          <w:tcPr/>
          <w:p>
            <w:pPr>
              <w:pStyle w:val="Compact"/>
            </w:pPr>
            <w:r>
              <w:t xml:space="preserve">Base</w:t>
            </w:r>
          </w:p>
        </w:tc>
        <w:tc>
          <w:tcPr/>
          <w:p>
            <w:pPr>
              <w:pStyle w:val="Compact"/>
            </w:pPr>
            <w:r>
              <w:t xml:space="preserve">$408.34</w:t>
            </w:r>
          </w:p>
        </w:tc>
        <w:tc>
          <w:tcPr/>
          <w:p>
            <w:pPr>
              <w:pStyle w:val="Compact"/>
            </w:pPr>
            <w:r>
              <w:t xml:space="preserve">-35.4%</w:t>
            </w:r>
          </w:p>
        </w:tc>
      </w:tr>
      <w:tr>
        <w:tc>
          <w:tcPr/>
          <w:p>
            <w:pPr>
              <w:pStyle w:val="Compact"/>
            </w:pPr>
            <w:r>
              <w:t xml:space="preserve">4Q</w:t>
            </w:r>
          </w:p>
        </w:tc>
        <w:tc>
          <w:tcPr/>
          <w:p>
            <w:pPr>
              <w:pStyle w:val="Compact"/>
            </w:pPr>
            <w:r>
              <w:t xml:space="preserve">Bull</w:t>
            </w:r>
          </w:p>
        </w:tc>
        <w:tc>
          <w:tcPr/>
          <w:p>
            <w:pPr>
              <w:pStyle w:val="Compact"/>
            </w:pPr>
            <w:r>
              <w:t xml:space="preserve">$677.05</w:t>
            </w:r>
          </w:p>
        </w:tc>
        <w:tc>
          <w:tcPr/>
          <w:p>
            <w:pPr>
              <w:pStyle w:val="Compact"/>
            </w:pPr>
            <w:r>
              <w:t xml:space="preserve">7.2%</w:t>
            </w:r>
          </w:p>
        </w:tc>
      </w:tr>
      <w:tr>
        <w:tc>
          <w:tcPr/>
          <w:p>
            <w:pPr>
              <w:pStyle w:val="Compact"/>
            </w:pPr>
            <w:r>
              <w:t xml:space="preserve">6Q</w:t>
            </w:r>
          </w:p>
        </w:tc>
        <w:tc>
          <w:tcPr/>
          <w:p>
            <w:pPr>
              <w:pStyle w:val="Compact"/>
            </w:pPr>
            <w:r>
              <w:t xml:space="preserve">Bear</w:t>
            </w:r>
          </w:p>
        </w:tc>
        <w:tc>
          <w:tcPr/>
          <w:p>
            <w:pPr>
              <w:pStyle w:val="Compact"/>
            </w:pPr>
            <w:r>
              <w:t xml:space="preserve">$166.80</w:t>
            </w:r>
          </w:p>
        </w:tc>
        <w:tc>
          <w:tcPr/>
          <w:p>
            <w:pPr>
              <w:pStyle w:val="Compact"/>
            </w:pPr>
            <w:r>
              <w:t xml:space="preserve">-73.6%</w:t>
            </w:r>
          </w:p>
        </w:tc>
      </w:tr>
      <w:tr>
        <w:tc>
          <w:tcPr/>
          <w:p>
            <w:pPr>
              <w:pStyle w:val="Compact"/>
            </w:pPr>
            <w:r>
              <w:t xml:space="preserve">6Q</w:t>
            </w:r>
          </w:p>
        </w:tc>
        <w:tc>
          <w:tcPr/>
          <w:p>
            <w:pPr>
              <w:pStyle w:val="Compact"/>
            </w:pPr>
            <w:r>
              <w:t xml:space="preserve">Base</w:t>
            </w:r>
          </w:p>
        </w:tc>
        <w:tc>
          <w:tcPr/>
          <w:p>
            <w:pPr>
              <w:pStyle w:val="Compact"/>
            </w:pPr>
            <w:r>
              <w:t xml:space="preserve">$410.29</w:t>
            </w:r>
          </w:p>
        </w:tc>
        <w:tc>
          <w:tcPr/>
          <w:p>
            <w:pPr>
              <w:pStyle w:val="Compact"/>
            </w:pPr>
            <w:r>
              <w:t xml:space="preserve">-35.1%</w:t>
            </w:r>
          </w:p>
        </w:tc>
      </w:tr>
      <w:tr>
        <w:tc>
          <w:tcPr/>
          <w:p>
            <w:pPr>
              <w:pStyle w:val="Compact"/>
            </w:pPr>
            <w:r>
              <w:t xml:space="preserve">6Q</w:t>
            </w:r>
          </w:p>
        </w:tc>
        <w:tc>
          <w:tcPr/>
          <w:p>
            <w:pPr>
              <w:pStyle w:val="Compact"/>
            </w:pPr>
            <w:r>
              <w:t xml:space="preserve">Bull</w:t>
            </w:r>
          </w:p>
        </w:tc>
        <w:tc>
          <w:tcPr/>
          <w:p>
            <w:pPr>
              <w:pStyle w:val="Compact"/>
            </w:pPr>
            <w:r>
              <w:t xml:space="preserve">$705.12</w:t>
            </w:r>
          </w:p>
        </w:tc>
        <w:tc>
          <w:tcPr/>
          <w:p>
            <w:pPr>
              <w:pStyle w:val="Compact"/>
            </w:pPr>
            <w:r>
              <w:t xml:space="preserve">11.6%</w:t>
            </w:r>
          </w:p>
        </w:tc>
      </w:tr>
      <w:tr>
        <w:tc>
          <w:tcPr/>
          <w:p>
            <w:pPr>
              <w:pStyle w:val="Compact"/>
            </w:pPr>
            <w:r>
              <w:t xml:space="preserve">8Q</w:t>
            </w:r>
          </w:p>
        </w:tc>
        <w:tc>
          <w:tcPr/>
          <w:p>
            <w:pPr>
              <w:pStyle w:val="Compact"/>
            </w:pPr>
            <w:r>
              <w:t xml:space="preserve">Bear</w:t>
            </w:r>
          </w:p>
        </w:tc>
        <w:tc>
          <w:tcPr/>
          <w:p>
            <w:pPr>
              <w:pStyle w:val="Compact"/>
            </w:pPr>
            <w:r>
              <w:t xml:space="preserve">$156.57</w:t>
            </w:r>
          </w:p>
        </w:tc>
        <w:tc>
          <w:tcPr/>
          <w:p>
            <w:pPr>
              <w:pStyle w:val="Compact"/>
            </w:pPr>
            <w:r>
              <w:t xml:space="preserve">-75.2%</w:t>
            </w:r>
          </w:p>
        </w:tc>
      </w:tr>
      <w:tr>
        <w:tc>
          <w:tcPr/>
          <w:p>
            <w:pPr>
              <w:pStyle w:val="Compact"/>
            </w:pPr>
            <w:r>
              <w:t xml:space="preserve">8Q</w:t>
            </w:r>
          </w:p>
        </w:tc>
        <w:tc>
          <w:tcPr/>
          <w:p>
            <w:pPr>
              <w:pStyle w:val="Compact"/>
            </w:pPr>
            <w:r>
              <w:t xml:space="preserve">Base</w:t>
            </w:r>
          </w:p>
        </w:tc>
        <w:tc>
          <w:tcPr/>
          <w:p>
            <w:pPr>
              <w:pStyle w:val="Compact"/>
            </w:pPr>
            <w:r>
              <w:t xml:space="preserve">$411.98</w:t>
            </w:r>
          </w:p>
        </w:tc>
        <w:tc>
          <w:tcPr/>
          <w:p>
            <w:pPr>
              <w:pStyle w:val="Compact"/>
            </w:pPr>
            <w:r>
              <w:t xml:space="preserve">-34.8%</w:t>
            </w:r>
          </w:p>
        </w:tc>
      </w:tr>
      <w:tr>
        <w:tc>
          <w:tcPr/>
          <w:p>
            <w:pPr>
              <w:pStyle w:val="Compact"/>
            </w:pPr>
            <w:r>
              <w:t xml:space="preserve">8Q</w:t>
            </w:r>
          </w:p>
        </w:tc>
        <w:tc>
          <w:tcPr/>
          <w:p>
            <w:pPr>
              <w:pStyle w:val="Compact"/>
            </w:pPr>
            <w:r>
              <w:t xml:space="preserve">Bull</w:t>
            </w:r>
          </w:p>
        </w:tc>
        <w:tc>
          <w:tcPr/>
          <w:p>
            <w:pPr>
              <w:pStyle w:val="Compact"/>
            </w:pPr>
            <w:r>
              <w:t xml:space="preserve">$734.04</w:t>
            </w:r>
          </w:p>
        </w:tc>
        <w:tc>
          <w:tcPr/>
          <w:p>
            <w:pPr>
              <w:pStyle w:val="Compact"/>
            </w:pPr>
            <w:r>
              <w:t xml:space="preserve">16.2%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35.8x</w:t>
            </w:r>
          </w:p>
        </w:tc>
      </w:tr>
      <w:tr>
        <w:tc>
          <w:tcPr/>
          <w:p>
            <w:pPr>
              <w:pStyle w:val="Compact"/>
            </w:pPr>
            <w:r>
              <w:t xml:space="preserve">4Q</w:t>
            </w:r>
          </w:p>
        </w:tc>
        <w:tc>
          <w:tcPr/>
          <w:p>
            <w:pPr>
              <w:pStyle w:val="Compact"/>
            </w:pPr>
            <w:r>
              <w:t xml:space="preserve">33.9x</w:t>
            </w:r>
          </w:p>
        </w:tc>
      </w:tr>
      <w:tr>
        <w:tc>
          <w:tcPr/>
          <w:p>
            <w:pPr>
              <w:pStyle w:val="Compact"/>
            </w:pPr>
            <w:r>
              <w:t xml:space="preserve">6Q</w:t>
            </w:r>
          </w:p>
        </w:tc>
        <w:tc>
          <w:tcPr/>
          <w:p>
            <w:pPr>
              <w:pStyle w:val="Compact"/>
            </w:pPr>
            <w:r>
              <w:t xml:space="preserve">32.1x</w:t>
            </w:r>
          </w:p>
        </w:tc>
      </w:tr>
      <w:tr>
        <w:tc>
          <w:tcPr/>
          <w:p>
            <w:pPr>
              <w:pStyle w:val="Compact"/>
            </w:pPr>
            <w:r>
              <w:t xml:space="preserve">8Q</w:t>
            </w:r>
          </w:p>
        </w:tc>
        <w:tc>
          <w:tcPr/>
          <w:p>
            <w:pPr>
              <w:pStyle w:val="Compact"/>
            </w:pPr>
            <w:r>
              <w:t xml:space="preserve">30.4x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7.9%</w:t>
            </w:r>
          </w:p>
        </w:tc>
        <w:tc>
          <w:tcPr/>
          <w:p>
            <w:pPr>
              <w:pStyle w:val="Compact"/>
            </w:pPr>
            <w:r>
              <w:t xml:space="preserve">4.8%</w:t>
            </w:r>
          </w:p>
        </w:tc>
        <w:tc>
          <w:tcPr/>
          <w:p>
            <w:pPr>
              <w:pStyle w:val="Compact"/>
            </w:pPr>
            <w:r>
              <w:t xml:space="preserve">12.4%</w:t>
            </w:r>
          </w:p>
        </w:tc>
        <w:tc>
          <w:tcPr/>
          <w:p>
            <w:pPr>
              <w:pStyle w:val="Compact"/>
            </w:pPr>
            <w:r>
              <w:t xml:space="preserve">2.5%</w:t>
            </w:r>
          </w:p>
        </w:tc>
        <w:tc>
          <w:tcPr/>
          <w:p>
            <w:pPr>
              <w:pStyle w:val="Compact"/>
            </w:pPr>
            <w:r>
              <w:t xml:space="preserve">25.0%</w:t>
            </w:r>
          </w:p>
        </w:tc>
        <w:tc>
          <w:tcPr/>
          <w:p>
            <w:pPr>
              <w:pStyle w:val="Compact"/>
            </w:pPr>
            <w:r>
              <w:t xml:space="preserve">$102.69</w:t>
            </w:r>
          </w:p>
        </w:tc>
        <w:tc>
          <w:tcPr/>
          <w:p>
            <w:pPr>
              <w:pStyle w:val="Compact"/>
            </w:pPr>
            <w:r>
              <w:t xml:space="preserve">-83.7%</w:t>
            </w:r>
          </w:p>
        </w:tc>
      </w:tr>
      <w:tr>
        <w:tc>
          <w:tcPr/>
          <w:p>
            <w:pPr>
              <w:pStyle w:val="Compact"/>
            </w:pPr>
            <w:r>
              <w:t xml:space="preserve">Base</w:t>
            </w:r>
          </w:p>
        </w:tc>
        <w:tc>
          <w:tcPr/>
          <w:p>
            <w:pPr>
              <w:pStyle w:val="Compact"/>
            </w:pPr>
            <w:r>
              <w:t xml:space="preserve">15.8%</w:t>
            </w:r>
          </w:p>
        </w:tc>
        <w:tc>
          <w:tcPr/>
          <w:p>
            <w:pPr>
              <w:pStyle w:val="Compact"/>
            </w:pPr>
            <w:r>
              <w:t xml:space="preserve">6.0%</w:t>
            </w:r>
          </w:p>
        </w:tc>
        <w:tc>
          <w:tcPr/>
          <w:p>
            <w:pPr>
              <w:pStyle w:val="Compact"/>
            </w:pPr>
            <w:r>
              <w:t xml:space="preserve">11.4%</w:t>
            </w:r>
          </w:p>
        </w:tc>
        <w:tc>
          <w:tcPr/>
          <w:p>
            <w:pPr>
              <w:pStyle w:val="Compact"/>
            </w:pPr>
            <w:r>
              <w:t xml:space="preserve">3.0%</w:t>
            </w:r>
          </w:p>
        </w:tc>
        <w:tc>
          <w:tcPr/>
          <w:p>
            <w:pPr>
              <w:pStyle w:val="Compact"/>
            </w:pPr>
            <w:r>
              <w:t xml:space="preserve">50.0%</w:t>
            </w:r>
          </w:p>
        </w:tc>
        <w:tc>
          <w:tcPr/>
          <w:p>
            <w:pPr>
              <w:pStyle w:val="Compact"/>
            </w:pPr>
            <w:r>
              <w:t xml:space="preserve">$229.34</w:t>
            </w:r>
          </w:p>
        </w:tc>
        <w:tc>
          <w:tcPr/>
          <w:p>
            <w:pPr>
              <w:pStyle w:val="Compact"/>
            </w:pPr>
            <w:r>
              <w:t xml:space="preserve">-63.7%</w:t>
            </w:r>
          </w:p>
        </w:tc>
      </w:tr>
      <w:tr>
        <w:tc>
          <w:tcPr/>
          <w:p>
            <w:pPr>
              <w:pStyle w:val="Compact"/>
            </w:pPr>
            <w:r>
              <w:t xml:space="preserve">Bull</w:t>
            </w:r>
          </w:p>
        </w:tc>
        <w:tc>
          <w:tcPr/>
          <w:p>
            <w:pPr>
              <w:pStyle w:val="Compact"/>
            </w:pPr>
            <w:r>
              <w:t xml:space="preserve">20.5%</w:t>
            </w:r>
          </w:p>
        </w:tc>
        <w:tc>
          <w:tcPr/>
          <w:p>
            <w:pPr>
              <w:pStyle w:val="Compact"/>
            </w:pPr>
            <w:r>
              <w:t xml:space="preserve">6.9%</w:t>
            </w:r>
          </w:p>
        </w:tc>
        <w:tc>
          <w:tcPr/>
          <w:p>
            <w:pPr>
              <w:pStyle w:val="Compact"/>
            </w:pPr>
            <w:r>
              <w:t xml:space="preserve">10.9%</w:t>
            </w:r>
          </w:p>
        </w:tc>
        <w:tc>
          <w:tcPr/>
          <w:p>
            <w:pPr>
              <w:pStyle w:val="Compact"/>
            </w:pPr>
            <w:r>
              <w:t xml:space="preserve">3.5%</w:t>
            </w:r>
          </w:p>
        </w:tc>
        <w:tc>
          <w:tcPr/>
          <w:p>
            <w:pPr>
              <w:pStyle w:val="Compact"/>
            </w:pPr>
            <w:r>
              <w:t xml:space="preserve">25.0%</w:t>
            </w:r>
          </w:p>
        </w:tc>
        <w:tc>
          <w:tcPr/>
          <w:p>
            <w:pPr>
              <w:pStyle w:val="Compact"/>
            </w:pPr>
            <w:r>
              <w:t xml:space="preserve">$371.64</w:t>
            </w:r>
          </w:p>
        </w:tc>
        <w:tc>
          <w:tcPr/>
          <w:p>
            <w:pPr>
              <w:pStyle w:val="Compact"/>
            </w:pPr>
            <w:r>
              <w:t xml:space="preserve">-41.2%</w:t>
            </w:r>
          </w:p>
        </w:tc>
      </w:tr>
    </w:tbl>
    <w:p>
      <w:pPr>
        <w:pStyle w:val="BodyText"/>
      </w:pPr>
      <w:r>
        <w:rPr>
          <w:rFonts w:hint="eastAsia"/>
        </w:rPr>
        <w:t xml:space="preserve">概率加权价值</w:t>
      </w:r>
      <w:r>
        <w:t xml:space="preserve"> </w:t>
      </w:r>
      <w:r>
        <w:rPr>
          <w:b/>
          <w:bCs/>
        </w:rPr>
        <w:t xml:space="preserve">$233.25</w:t>
      </w:r>
      <w:r>
        <w:rPr>
          <w:rFonts w:hint="eastAsia"/>
        </w:rPr>
        <w:t xml:space="preserve">（相对现价</w:t>
      </w:r>
      <w:r>
        <w:t xml:space="preserve"> </w:t>
      </w:r>
      <w:r>
        <w:rPr>
          <w:rFonts w:hint="eastAsia"/>
        </w:rPr>
        <w:t xml:space="preserve">-63.1%）。</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40.6 bn </w:t>
      </w:r>
      <w:r>
        <w:rPr>
          <w:rFonts w:hint="eastAsia"/>
        </w:rPr>
        <w:t xml:space="preserve">USD；终值占比</w:t>
      </w:r>
      <w:r>
        <w:t xml:space="preserve"> 49.0%。</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40.9%</w:t>
      </w:r>
      <w:r>
        <w:rPr>
          <w:rFonts w:hint="eastAsia"/>
        </w:rPr>
        <w:t xml:space="preserve">；一致预期FY+1增速</w:t>
      </w:r>
      <w:r>
        <w:t xml:space="preserve"> 15.8%。</w:t>
      </w:r>
    </w:p>
    <w:p>
      <w:pPr>
        <w:numPr>
          <w:ilvl w:val="0"/>
          <w:numId w:val="1005"/>
        </w:numPr>
      </w:pPr>
      <w:r>
        <w:t xml:space="preserve">WACC (CAPM) = rf 5.1% + β 1.27 × ERP 5.0% = 11.4%。</w:t>
      </w:r>
    </w:p>
    <w:p>
      <w:pPr>
        <w:numPr>
          <w:ilvl w:val="0"/>
          <w:numId w:val="1005"/>
        </w:numPr>
      </w:pPr>
      <w:r>
        <w:t xml:space="preserve">SOTP segments </w:t>
      </w:r>
      <w:r>
        <w:rPr>
          <w:rFonts w:hint="eastAsia"/>
        </w:rPr>
        <w:t xml:space="preserve">分部:</w:t>
      </w:r>
      <w:r>
        <w:t xml:space="preserve">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PWR | 95.0 bn USD | 3.1x | 31.8x | 41.1% | 15.5% | 2.5% |</w:t>
      </w:r>
      <w:r>
        <w:t xml:space="preserve"> </w:t>
      </w:r>
      <w:r>
        <w:t xml:space="preserve">| EME | 31.8 bn USD | 1.7x | 19.3x | 19.8% | 19.4% | 3.1% |</w:t>
      </w:r>
      <w:r>
        <w:t xml:space="preserve"> </w:t>
      </w:r>
      <w:r>
        <w:t xml:space="preserve">| MTZ | 15.3 bn USD | 1.1x | 15.4x | 23.4% | 12.9% | -0.4% |</w:t>
      </w:r>
      <w:r>
        <w:t xml:space="preserve"> </w:t>
      </w:r>
      <w:r>
        <w:t xml:space="preserve">| MYRG | 4.4 bn USD | 1.1x | 19.2x | 20.1% | 12.5% | 4.1% |</w:t>
      </w:r>
      <w:r>
        <w:t xml:space="preserve"> </w:t>
      </w:r>
      <w:r>
        <w:t xml:space="preserve">| 267260.KS | 18,572.2 bn USD | 4.1x | 15.6x | 26.0% | 34.7% | 3.3%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Permitting delays; renewable policy </w:t>
      </w:r>
      <w:r>
        <w:rPr>
          <w:rFonts w:hint="eastAsia"/>
        </w:rPr>
        <w:t xml:space="preserve">reversal｜审批延迟；可再生政策逆转</w:t>
      </w:r>
    </w:p>
    <w:p>
      <w:pPr>
        <w:pStyle w:val="Compact"/>
        <w:numPr>
          <w:ilvl w:val="0"/>
          <w:numId w:val="1006"/>
        </w:numPr>
      </w:pPr>
      <w:r>
        <w:rPr>
          <w:rFonts w:hint="eastAsia"/>
        </w:rPr>
        <w:t xml:space="preserve">证伪指标:</w:t>
      </w:r>
      <w:r>
        <w:t xml:space="preserve"> Backlog growth stalls; utility capex </w:t>
      </w:r>
      <w:r>
        <w:rPr>
          <w:rFonts w:hint="eastAsia"/>
        </w:rPr>
        <w:t xml:space="preserve">cut｜积压停滞；电力Capex下修</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631.9</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9.5e+10</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5.064e+08</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6.603e+09</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3.291e+10</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2.391e+09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1.267</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0.3892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0.1575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1.27</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0.1575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0.07267</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0.06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PWR_model_v20261017-0755.xlsx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07:57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2026-10-29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PW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PW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PW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PW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PW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2985e81e32f4a44ac0350aed19a2a3aa3be410b"/>
    <w:p>
      <w:pPr>
        <w:pStyle w:val="Heading1"/>
      </w:pPr>
      <w:r>
        <w:t xml:space="preserve">PWR Quanta Services, Inc. — Equity Deep Dive (Professional English) v20261017-0755</w:t>
      </w:r>
    </w:p>
    <w:p>
      <w:pPr>
        <w:pStyle w:val="BlockText"/>
      </w:pPr>
      <w:r>
        <w:t xml:space="preserve">Data as of 2026-10-17 07:55 SGT | Price $631.86 | Mkt cap 95.0 bn USD | Reporting currency USD | Not investment advice.</w:t>
      </w:r>
    </w:p>
    <w:bookmarkStart w:id="39" w:name="investment-thesis-hypothesis"/>
    <w:p>
      <w:pPr>
        <w:pStyle w:val="Heading2"/>
      </w:pPr>
      <w:r>
        <w:t xml:space="preserve">1. Investment thesis (HYPOTHESIS)</w:t>
      </w:r>
    </w:p>
    <w:p>
      <w:pPr>
        <w:pStyle w:val="FirstParagraph"/>
      </w:pPr>
      <w:r>
        <w:t xml:space="preserve">Quanta is the labor-bottleneck leader in the</w:t>
      </w:r>
      <w:r>
        <w:t xml:space="preserve"> </w:t>
      </w:r>
      <w:r>
        <w:t xml:space="preserve">‘AI → power demand → grid investment’</w:t>
      </w:r>
      <w:r>
        <w:t xml:space="preserve"> </w:t>
      </w:r>
      <w:r>
        <w:t xml:space="preserve">chain; utility capex plans are the leading indicator.</w:t>
      </w:r>
    </w:p>
    <w:p>
      <w:pPr>
        <w:pStyle w:val="Compact"/>
        <w:numPr>
          <w:ilvl w:val="0"/>
          <w:numId w:val="1009"/>
        </w:numPr>
      </w:pPr>
      <w:r>
        <w:rPr>
          <w:b/>
          <w:bCs/>
        </w:rPr>
        <w:t xml:space="preserve">Bull drivers</w:t>
      </w:r>
      <w:r>
        <w:t xml:space="preserve">: Utility capex plans raised; large transmission </w:t>
      </w:r>
      <w:r>
        <w:rPr>
          <w:rFonts w:hint="eastAsia"/>
        </w:rPr>
        <w:t xml:space="preserve">awards｜电力公司上调Capex；大型输电项目</w:t>
      </w:r>
    </w:p>
    <w:p>
      <w:pPr>
        <w:pStyle w:val="Compact"/>
        <w:numPr>
          <w:ilvl w:val="0"/>
          <w:numId w:val="1009"/>
        </w:numPr>
      </w:pPr>
      <w:r>
        <w:rPr>
          <w:b/>
          <w:bCs/>
        </w:rPr>
        <w:t xml:space="preserve">Bear drivers</w:t>
      </w:r>
      <w:r>
        <w:t xml:space="preserve">: Permitting delays; renewable policy </w:t>
      </w:r>
      <w:r>
        <w:rPr>
          <w:rFonts w:hint="eastAsia"/>
        </w:rPr>
        <w:t xml:space="preserve">reversal｜审批延迟；可再生政策逆转</w:t>
      </w:r>
    </w:p>
    <w:p>
      <w:pPr>
        <w:pStyle w:val="Compact"/>
        <w:numPr>
          <w:ilvl w:val="0"/>
          <w:numId w:val="1009"/>
        </w:numPr>
      </w:pPr>
      <w:r>
        <w:rPr>
          <w:b/>
          <w:bCs/>
        </w:rPr>
        <w:t xml:space="preserve">Falsifiers</w:t>
      </w:r>
      <w:r>
        <w:t xml:space="preserve">: Backlog growth stalls; utility capex </w:t>
      </w:r>
      <w:r>
        <w:rPr>
          <w:rFonts w:hint="eastAsia"/>
        </w:rPr>
        <w:t xml:space="preserve">cut｜积压停滞；电力Capex下修</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Power grid / utility infrastructure </w:t>
      </w:r>
      <w:r>
        <w:rPr>
          <w:rFonts w:hint="eastAsia"/>
        </w:rPr>
        <w:t xml:space="preserve">电网基建</w:t>
      </w:r>
      <w:r>
        <w:t xml:space="preserve"> | Segments: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p>
    <w:p>
      <w:pPr>
        <w:pStyle w:val="Compact"/>
        <w:numPr>
          <w:ilvl w:val="0"/>
          <w:numId w:val="1010"/>
        </w:numPr>
      </w:pPr>
      <w:r>
        <w:t xml:space="preserve">Business description (DATA): Quanta Services, Inc. offers infrastructure solutions for the electric and gas utility, power generation, load center, manufacturing, communications, pipeline, and energy industries. The company’s Electric Infrastructure Solutions segment engages in the design, procurement, construction, upgrade, repair, and maintenance of electric power transmission and distribution infrastructure and substation facilities; installation, maintenance, and upgrade of electric power infrastructure projects; installation of smart grid technologies on electric power networks; and design, installation, maintenance, and repair of commercial and industrial wirings. This segment offers aviation; emergency aerial firefighting services; emergency restoration; and other engineering and technical services; design and construction solutions to wireline and wireless communications, cable multi-system operators, techno</w:t>
      </w:r>
    </w:p>
    <w:p>
      <w:pPr>
        <w:pStyle w:val="Compact"/>
        <w:numPr>
          <w:ilvl w:val="0"/>
          <w:numId w:val="1010"/>
        </w:numPr>
      </w:pPr>
      <w:r>
        <w:t xml:space="preserve">Customers: Utilities, hyperscalers (via utilities), renewable </w:t>
      </w:r>
      <w:r>
        <w:rPr>
          <w:rFonts w:hint="eastAsia"/>
        </w:rPr>
        <w:t xml:space="preserve">developers｜电力公司、云厂、可再生开发商</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Labor (linemen), transformers, </w:t>
      </w:r>
      <w:r>
        <w:rPr>
          <w:rFonts w:hint="eastAsia"/>
        </w:rPr>
        <w:t xml:space="preserve">cable｜线路工人、变压器、电缆</w:t>
      </w:r>
    </w:p>
    <w:p>
      <w:pPr>
        <w:pStyle w:val="Compact"/>
        <w:numPr>
          <w:ilvl w:val="0"/>
          <w:numId w:val="1011"/>
        </w:numPr>
      </w:pPr>
      <w:r>
        <w:t xml:space="preserve">Competitors: MasTec, MYR, Primoris, utility in-house </w:t>
      </w:r>
      <w:r>
        <w:rPr>
          <w:rFonts w:hint="eastAsia"/>
        </w:rPr>
        <w:t xml:space="preserve">crews｜MasTec、MYR、Primoris</w:t>
      </w:r>
    </w:p>
    <w:p>
      <w:pPr>
        <w:pStyle w:val="Compact"/>
        <w:numPr>
          <w:ilvl w:val="0"/>
          <w:numId w:val="1011"/>
        </w:numPr>
      </w:pPr>
      <w:r>
        <w:t xml:space="preserve">Bottlenecks/regulation: Interconnection queues, transformer lead times, skilled </w:t>
      </w:r>
      <w:r>
        <w:rPr>
          <w:rFonts w:hint="eastAsia"/>
        </w:rPr>
        <w:t xml:space="preserve">labor｜并网排队、变压器交期、技工</w:t>
      </w:r>
    </w:p>
    <w:p>
      <w:pPr>
        <w:pStyle w:val="Compact"/>
        <w:numPr>
          <w:ilvl w:val="0"/>
          <w:numId w:val="1011"/>
        </w:numPr>
      </w:pPr>
      <w:r>
        <w:t xml:space="preserve">KPIs: Backlog, adj. EBITDA margin, electric segment </w:t>
      </w:r>
      <w:r>
        <w:rPr>
          <w:rFonts w:hint="eastAsia"/>
        </w:rPr>
        <w:t xml:space="preserve">growth｜积压订单、调整后EBITDA利润率、电力业务增速</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9.6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0.9 bn USD</w:t>
            </w:r>
          </w:p>
        </w:tc>
        <w:tc>
          <w:tcPr/>
          <w:p>
            <w:pPr>
              <w:pStyle w:val="Compact"/>
            </w:pPr>
            <w:r>
              <w:t xml:space="preserve">7.2%</w:t>
            </w:r>
          </w:p>
        </w:tc>
      </w:tr>
      <w:tr>
        <w:tc>
          <w:tcPr/>
          <w:p>
            <w:pPr>
              <w:pStyle w:val="Compact"/>
            </w:pPr>
            <w:r>
              <w:t xml:space="preserve">2026-03-31</w:t>
            </w:r>
          </w:p>
        </w:tc>
        <w:tc>
          <w:tcPr/>
          <w:p>
            <w:pPr>
              <w:pStyle w:val="Compact"/>
            </w:pPr>
            <w:r>
              <w:t xml:space="preserve">7.9 bn USD</w:t>
            </w:r>
          </w:p>
        </w:tc>
        <w:tc>
          <w:tcPr/>
          <w:p>
            <w:pPr>
              <w:pStyle w:val="Compact"/>
            </w:pPr>
            <w:r>
              <w:t xml:space="preserve">1.1 bn USD</w:t>
            </w:r>
          </w:p>
        </w:tc>
        <w:tc>
          <w:tcPr/>
          <w:p>
            <w:pPr>
              <w:pStyle w:val="Compact"/>
            </w:pPr>
            <w:r>
              <w:t xml:space="preserve">0.3 bn USD</w:t>
            </w:r>
          </w:p>
        </w:tc>
        <w:tc>
          <w:tcPr/>
          <w:p>
            <w:pPr>
              <w:pStyle w:val="Compact"/>
            </w:pPr>
            <w:r>
              <w:t xml:space="preserve">0.2 bn USD</w:t>
            </w:r>
          </w:p>
        </w:tc>
        <w:tc>
          <w:tcPr/>
          <w:p>
            <w:pPr>
              <w:pStyle w:val="Compact"/>
            </w:pPr>
            <w:r>
              <w:t xml:space="preserve">0.2 bn USD</w:t>
            </w:r>
          </w:p>
        </w:tc>
        <w:tc>
          <w:tcPr/>
          <w:p>
            <w:pPr>
              <w:pStyle w:val="Compact"/>
            </w:pPr>
            <w:r>
              <w:t xml:space="preserve">4.2%</w:t>
            </w:r>
          </w:p>
        </w:tc>
      </w:tr>
      <w:tr>
        <w:tc>
          <w:tcPr/>
          <w:p>
            <w:pPr>
              <w:pStyle w:val="Compact"/>
            </w:pPr>
            <w:r>
              <w:t xml:space="preserve">2025-12-31</w:t>
            </w:r>
          </w:p>
        </w:tc>
        <w:tc>
          <w:tcPr/>
          <w:p>
            <w:pPr>
              <w:pStyle w:val="Compact"/>
            </w:pPr>
            <w:r>
              <w:t xml:space="preserve">7.8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0.9 bn USD</w:t>
            </w:r>
          </w:p>
        </w:tc>
        <w:tc>
          <w:tcPr/>
          <w:p>
            <w:pPr>
              <w:pStyle w:val="Compact"/>
            </w:pPr>
            <w:r>
              <w:t xml:space="preserve">6.1%</w:t>
            </w:r>
          </w:p>
        </w:tc>
      </w:tr>
      <w:tr>
        <w:tc>
          <w:tcPr/>
          <w:p>
            <w:pPr>
              <w:pStyle w:val="Compact"/>
            </w:pPr>
            <w:r>
              <w:t xml:space="preserve">2025-09-30</w:t>
            </w:r>
          </w:p>
        </w:tc>
        <w:tc>
          <w:tcPr/>
          <w:p>
            <w:pPr>
              <w:pStyle w:val="Compact"/>
            </w:pPr>
            <w:r>
              <w:t xml:space="preserve">7.6 bn USD</w:t>
            </w:r>
          </w:p>
        </w:tc>
        <w:tc>
          <w:tcPr/>
          <w:p>
            <w:pPr>
              <w:pStyle w:val="Compact"/>
            </w:pPr>
            <w:r>
              <w:t xml:space="preserve">1.2 bn USD</w:t>
            </w:r>
          </w:p>
        </w:tc>
        <w:tc>
          <w:tcPr/>
          <w:p>
            <w:pPr>
              <w:pStyle w:val="Compact"/>
            </w:pPr>
            <w:r>
              <w:t xml:space="preserve">0.5 bn USD</w:t>
            </w:r>
          </w:p>
        </w:tc>
        <w:tc>
          <w:tcPr/>
          <w:p>
            <w:pPr>
              <w:pStyle w:val="Compact"/>
            </w:pPr>
            <w:r>
              <w:t xml:space="preserve">0.3 bn USD</w:t>
            </w:r>
          </w:p>
        </w:tc>
        <w:tc>
          <w:tcPr/>
          <w:p>
            <w:pPr>
              <w:pStyle w:val="Compact"/>
            </w:pPr>
            <w:r>
              <w:t xml:space="preserve">0.4 bn USD</w:t>
            </w:r>
          </w:p>
        </w:tc>
        <w:tc>
          <w:tcPr/>
          <w:p>
            <w:pPr>
              <w:pStyle w:val="Compact"/>
            </w:pPr>
            <w:r>
              <w:t xml:space="preserve">6.7%</w:t>
            </w:r>
          </w:p>
        </w:tc>
      </w:tr>
      <w:tr>
        <w:tc>
          <w:tcPr/>
          <w:p>
            <w:pPr>
              <w:pStyle w:val="Compact"/>
            </w:pPr>
            <w:r>
              <w:t xml:space="preserve">2025-06-30</w:t>
            </w:r>
          </w:p>
        </w:tc>
        <w:tc>
          <w:tcPr/>
          <w:p>
            <w:pPr>
              <w:pStyle w:val="Compact"/>
            </w:pPr>
            <w:r>
              <w:t xml:space="preserve">6.8 bn USD</w:t>
            </w:r>
          </w:p>
        </w:tc>
        <w:tc>
          <w:tcPr/>
          <w:p>
            <w:pPr>
              <w:pStyle w:val="Compact"/>
            </w:pPr>
            <w:r>
              <w:t xml:space="preserve">1.0 bn USD</w:t>
            </w:r>
          </w:p>
        </w:tc>
        <w:tc>
          <w:tcPr/>
          <w:p>
            <w:pPr>
              <w:pStyle w:val="Compact"/>
            </w:pPr>
            <w:r>
              <w:t xml:space="preserve">0.4 bn USD</w:t>
            </w:r>
          </w:p>
        </w:tc>
        <w:tc>
          <w:tcPr/>
          <w:p>
            <w:pPr>
              <w:pStyle w:val="Compact"/>
            </w:pPr>
            <w:r>
              <w:t xml:space="preserve">0.2 bn USD</w:t>
            </w:r>
          </w:p>
        </w:tc>
        <w:tc>
          <w:tcPr/>
          <w:p>
            <w:pPr>
              <w:pStyle w:val="Compact"/>
            </w:pPr>
            <w:r>
              <w:t xml:space="preserve">0.2 bn USD</w:t>
            </w:r>
          </w:p>
        </w:tc>
        <w:tc>
          <w:tcPr/>
          <w:p>
            <w:pPr>
              <w:pStyle w:val="Compact"/>
            </w:pPr>
            <w:r>
              <w:t xml:space="preserve">5.4%</w:t>
            </w:r>
          </w:p>
        </w:tc>
      </w:tr>
    </w:tbl>
    <w:p>
      <w:pPr>
        <w:pStyle w:val="BodyText"/>
      </w:pPr>
      <w:r>
        <w:t xml:space="preserve">Cash 0.5 bn USD; debt 6.6 bn USD; TTM FCF 2.4 bn USD (FCF margin 7.3%).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3.33</w:t>
            </w:r>
          </w:p>
        </w:tc>
        <w:tc>
          <w:tcPr/>
          <w:p>
            <w:pPr>
              <w:pStyle w:val="Compact"/>
            </w:pPr>
            <w:r>
              <w:t xml:space="preserve">3.25905</w:t>
            </w:r>
          </w:p>
        </w:tc>
        <w:tc>
          <w:tcPr/>
          <w:p>
            <w:pPr>
              <w:pStyle w:val="Compact"/>
            </w:pPr>
            <w:r>
              <w:t xml:space="preserve">0.0218</w:t>
            </w:r>
          </w:p>
        </w:tc>
      </w:tr>
      <w:tr>
        <w:tc>
          <w:tcPr/>
          <w:p>
            <w:pPr>
              <w:pStyle w:val="Compact"/>
            </w:pPr>
            <w:r>
              <w:t xml:space="preserve">2025-12-31</w:t>
            </w:r>
          </w:p>
        </w:tc>
        <w:tc>
          <w:tcPr/>
          <w:p>
            <w:pPr>
              <w:pStyle w:val="Compact"/>
            </w:pPr>
            <w:r>
              <w:t xml:space="preserve">3.16</w:t>
            </w:r>
          </w:p>
        </w:tc>
        <w:tc>
          <w:tcPr/>
          <w:p>
            <w:pPr>
              <w:pStyle w:val="Compact"/>
            </w:pPr>
            <w:r>
              <w:t xml:space="preserve">3.01855</w:t>
            </w:r>
          </w:p>
        </w:tc>
        <w:tc>
          <w:tcPr/>
          <w:p>
            <w:pPr>
              <w:pStyle w:val="Compact"/>
            </w:pPr>
            <w:r>
              <w:t xml:space="preserve">0.0469</w:t>
            </w:r>
          </w:p>
        </w:tc>
      </w:tr>
      <w:tr>
        <w:tc>
          <w:tcPr/>
          <w:p>
            <w:pPr>
              <w:pStyle w:val="Compact"/>
            </w:pPr>
            <w:r>
              <w:t xml:space="preserve">2026-03-31</w:t>
            </w:r>
          </w:p>
        </w:tc>
        <w:tc>
          <w:tcPr/>
          <w:p>
            <w:pPr>
              <w:pStyle w:val="Compact"/>
            </w:pPr>
            <w:r>
              <w:t xml:space="preserve">2.68</w:t>
            </w:r>
          </w:p>
        </w:tc>
        <w:tc>
          <w:tcPr/>
          <w:p>
            <w:pPr>
              <w:pStyle w:val="Compact"/>
            </w:pPr>
            <w:r>
              <w:t xml:space="preserve">2.03337</w:t>
            </w:r>
          </w:p>
        </w:tc>
        <w:tc>
          <w:tcPr/>
          <w:p>
            <w:pPr>
              <w:pStyle w:val="Compact"/>
            </w:pPr>
            <w:r>
              <w:t xml:space="preserve">0.318</w:t>
            </w:r>
          </w:p>
        </w:tc>
      </w:tr>
      <w:tr>
        <w:tc>
          <w:tcPr/>
          <w:p>
            <w:pPr>
              <w:pStyle w:val="Compact"/>
            </w:pPr>
            <w:r>
              <w:t xml:space="preserve">2026-06-30</w:t>
            </w:r>
          </w:p>
        </w:tc>
        <w:tc>
          <w:tcPr/>
          <w:p>
            <w:pPr>
              <w:pStyle w:val="Compact"/>
            </w:pPr>
            <w:r>
              <w:t xml:space="preserve">4.24</w:t>
            </w:r>
          </w:p>
        </w:tc>
        <w:tc>
          <w:tcPr/>
          <w:p>
            <w:pPr>
              <w:pStyle w:val="Compact"/>
            </w:pPr>
            <w:r>
              <w:t xml:space="preserve">3.30957</w:t>
            </w:r>
          </w:p>
        </w:tc>
        <w:tc>
          <w:tcPr/>
          <w:p>
            <w:pPr>
              <w:pStyle w:val="Compact"/>
            </w:pPr>
            <w:r>
              <w:t xml:space="preserve">0.2811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2026-10-29</w:t>
      </w:r>
      <w:r>
        <w:t xml:space="preserve">; current-quarter EPS consensus 4.99588 (21 analysts); revenue consensus 10.9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$188.17</w:t>
            </w:r>
          </w:p>
        </w:tc>
        <w:tc>
          <w:tcPr/>
          <w:p>
            <w:pPr>
              <w:pStyle w:val="Compact"/>
            </w:pPr>
            <w:r>
              <w:t xml:space="preserve">-70.2%</w:t>
            </w:r>
          </w:p>
        </w:tc>
      </w:tr>
      <w:tr>
        <w:tc>
          <w:tcPr/>
          <w:p>
            <w:pPr>
              <w:pStyle w:val="Compact"/>
            </w:pPr>
            <w:r>
              <w:t xml:space="preserve">2Q</w:t>
            </w:r>
          </w:p>
        </w:tc>
        <w:tc>
          <w:tcPr/>
          <w:p>
            <w:pPr>
              <w:pStyle w:val="Compact"/>
            </w:pPr>
            <w:r>
              <w:t xml:space="preserve">Base</w:t>
            </w:r>
          </w:p>
        </w:tc>
        <w:tc>
          <w:tcPr/>
          <w:p>
            <w:pPr>
              <w:pStyle w:val="Compact"/>
            </w:pPr>
            <w:r>
              <w:t xml:space="preserve">$406.12</w:t>
            </w:r>
          </w:p>
        </w:tc>
        <w:tc>
          <w:tcPr/>
          <w:p>
            <w:pPr>
              <w:pStyle w:val="Compact"/>
            </w:pPr>
            <w:r>
              <w:t xml:space="preserve">-35.7%</w:t>
            </w:r>
          </w:p>
        </w:tc>
      </w:tr>
      <w:tr>
        <w:tc>
          <w:tcPr/>
          <w:p>
            <w:pPr>
              <w:pStyle w:val="Compact"/>
            </w:pPr>
            <w:r>
              <w:t xml:space="preserve">2Q</w:t>
            </w:r>
          </w:p>
        </w:tc>
        <w:tc>
          <w:tcPr/>
          <w:p>
            <w:pPr>
              <w:pStyle w:val="Compact"/>
            </w:pPr>
            <w:r>
              <w:t xml:space="preserve">Bull</w:t>
            </w:r>
          </w:p>
        </w:tc>
        <w:tc>
          <w:tcPr/>
          <w:p>
            <w:pPr>
              <w:pStyle w:val="Compact"/>
            </w:pPr>
            <w:r>
              <w:t xml:space="preserve">$649.80</w:t>
            </w:r>
          </w:p>
        </w:tc>
        <w:tc>
          <w:tcPr/>
          <w:p>
            <w:pPr>
              <w:pStyle w:val="Compact"/>
            </w:pPr>
            <w:r>
              <w:t xml:space="preserve">2.8%</w:t>
            </w:r>
          </w:p>
        </w:tc>
      </w:tr>
      <w:tr>
        <w:tc>
          <w:tcPr/>
          <w:p>
            <w:pPr>
              <w:pStyle w:val="Compact"/>
            </w:pPr>
            <w:r>
              <w:t xml:space="preserve">4Q</w:t>
            </w:r>
          </w:p>
        </w:tc>
        <w:tc>
          <w:tcPr/>
          <w:p>
            <w:pPr>
              <w:pStyle w:val="Compact"/>
            </w:pPr>
            <w:r>
              <w:t xml:space="preserve">Bear</w:t>
            </w:r>
          </w:p>
        </w:tc>
        <w:tc>
          <w:tcPr/>
          <w:p>
            <w:pPr>
              <w:pStyle w:val="Compact"/>
            </w:pPr>
            <w:r>
              <w:t xml:space="preserve">$177.32</w:t>
            </w:r>
          </w:p>
        </w:tc>
        <w:tc>
          <w:tcPr/>
          <w:p>
            <w:pPr>
              <w:pStyle w:val="Compact"/>
            </w:pPr>
            <w:r>
              <w:t xml:space="preserve">-71.9%</w:t>
            </w:r>
          </w:p>
        </w:tc>
      </w:tr>
      <w:tr>
        <w:tc>
          <w:tcPr/>
          <w:p>
            <w:pPr>
              <w:pStyle w:val="Compact"/>
            </w:pPr>
            <w:r>
              <w:t xml:space="preserve">4Q</w:t>
            </w:r>
          </w:p>
        </w:tc>
        <w:tc>
          <w:tcPr/>
          <w:p>
            <w:pPr>
              <w:pStyle w:val="Compact"/>
            </w:pPr>
            <w:r>
              <w:t xml:space="preserve">Base</w:t>
            </w:r>
          </w:p>
        </w:tc>
        <w:tc>
          <w:tcPr/>
          <w:p>
            <w:pPr>
              <w:pStyle w:val="Compact"/>
            </w:pPr>
            <w:r>
              <w:t xml:space="preserve">$408.34</w:t>
            </w:r>
          </w:p>
        </w:tc>
        <w:tc>
          <w:tcPr/>
          <w:p>
            <w:pPr>
              <w:pStyle w:val="Compact"/>
            </w:pPr>
            <w:r>
              <w:t xml:space="preserve">-35.4%</w:t>
            </w:r>
          </w:p>
        </w:tc>
      </w:tr>
      <w:tr>
        <w:tc>
          <w:tcPr/>
          <w:p>
            <w:pPr>
              <w:pStyle w:val="Compact"/>
            </w:pPr>
            <w:r>
              <w:t xml:space="preserve">4Q</w:t>
            </w:r>
          </w:p>
        </w:tc>
        <w:tc>
          <w:tcPr/>
          <w:p>
            <w:pPr>
              <w:pStyle w:val="Compact"/>
            </w:pPr>
            <w:r>
              <w:t xml:space="preserve">Bull</w:t>
            </w:r>
          </w:p>
        </w:tc>
        <w:tc>
          <w:tcPr/>
          <w:p>
            <w:pPr>
              <w:pStyle w:val="Compact"/>
            </w:pPr>
            <w:r>
              <w:t xml:space="preserve">$677.05</w:t>
            </w:r>
          </w:p>
        </w:tc>
        <w:tc>
          <w:tcPr/>
          <w:p>
            <w:pPr>
              <w:pStyle w:val="Compact"/>
            </w:pPr>
            <w:r>
              <w:t xml:space="preserve">7.2%</w:t>
            </w:r>
          </w:p>
        </w:tc>
      </w:tr>
      <w:tr>
        <w:tc>
          <w:tcPr/>
          <w:p>
            <w:pPr>
              <w:pStyle w:val="Compact"/>
            </w:pPr>
            <w:r>
              <w:t xml:space="preserve">6Q</w:t>
            </w:r>
          </w:p>
        </w:tc>
        <w:tc>
          <w:tcPr/>
          <w:p>
            <w:pPr>
              <w:pStyle w:val="Compact"/>
            </w:pPr>
            <w:r>
              <w:t xml:space="preserve">Bear</w:t>
            </w:r>
          </w:p>
        </w:tc>
        <w:tc>
          <w:tcPr/>
          <w:p>
            <w:pPr>
              <w:pStyle w:val="Compact"/>
            </w:pPr>
            <w:r>
              <w:t xml:space="preserve">$166.80</w:t>
            </w:r>
          </w:p>
        </w:tc>
        <w:tc>
          <w:tcPr/>
          <w:p>
            <w:pPr>
              <w:pStyle w:val="Compact"/>
            </w:pPr>
            <w:r>
              <w:t xml:space="preserve">-73.6%</w:t>
            </w:r>
          </w:p>
        </w:tc>
      </w:tr>
      <w:tr>
        <w:tc>
          <w:tcPr/>
          <w:p>
            <w:pPr>
              <w:pStyle w:val="Compact"/>
            </w:pPr>
            <w:r>
              <w:t xml:space="preserve">6Q</w:t>
            </w:r>
          </w:p>
        </w:tc>
        <w:tc>
          <w:tcPr/>
          <w:p>
            <w:pPr>
              <w:pStyle w:val="Compact"/>
            </w:pPr>
            <w:r>
              <w:t xml:space="preserve">Base</w:t>
            </w:r>
          </w:p>
        </w:tc>
        <w:tc>
          <w:tcPr/>
          <w:p>
            <w:pPr>
              <w:pStyle w:val="Compact"/>
            </w:pPr>
            <w:r>
              <w:t xml:space="preserve">$410.29</w:t>
            </w:r>
          </w:p>
        </w:tc>
        <w:tc>
          <w:tcPr/>
          <w:p>
            <w:pPr>
              <w:pStyle w:val="Compact"/>
            </w:pPr>
            <w:r>
              <w:t xml:space="preserve">-35.1%</w:t>
            </w:r>
          </w:p>
        </w:tc>
      </w:tr>
      <w:tr>
        <w:tc>
          <w:tcPr/>
          <w:p>
            <w:pPr>
              <w:pStyle w:val="Compact"/>
            </w:pPr>
            <w:r>
              <w:t xml:space="preserve">6Q</w:t>
            </w:r>
          </w:p>
        </w:tc>
        <w:tc>
          <w:tcPr/>
          <w:p>
            <w:pPr>
              <w:pStyle w:val="Compact"/>
            </w:pPr>
            <w:r>
              <w:t xml:space="preserve">Bull</w:t>
            </w:r>
          </w:p>
        </w:tc>
        <w:tc>
          <w:tcPr/>
          <w:p>
            <w:pPr>
              <w:pStyle w:val="Compact"/>
            </w:pPr>
            <w:r>
              <w:t xml:space="preserve">$705.12</w:t>
            </w:r>
          </w:p>
        </w:tc>
        <w:tc>
          <w:tcPr/>
          <w:p>
            <w:pPr>
              <w:pStyle w:val="Compact"/>
            </w:pPr>
            <w:r>
              <w:t xml:space="preserve">11.6%</w:t>
            </w:r>
          </w:p>
        </w:tc>
      </w:tr>
      <w:tr>
        <w:tc>
          <w:tcPr/>
          <w:p>
            <w:pPr>
              <w:pStyle w:val="Compact"/>
            </w:pPr>
            <w:r>
              <w:t xml:space="preserve">8Q</w:t>
            </w:r>
          </w:p>
        </w:tc>
        <w:tc>
          <w:tcPr/>
          <w:p>
            <w:pPr>
              <w:pStyle w:val="Compact"/>
            </w:pPr>
            <w:r>
              <w:t xml:space="preserve">Bear</w:t>
            </w:r>
          </w:p>
        </w:tc>
        <w:tc>
          <w:tcPr/>
          <w:p>
            <w:pPr>
              <w:pStyle w:val="Compact"/>
            </w:pPr>
            <w:r>
              <w:t xml:space="preserve">$156.57</w:t>
            </w:r>
          </w:p>
        </w:tc>
        <w:tc>
          <w:tcPr/>
          <w:p>
            <w:pPr>
              <w:pStyle w:val="Compact"/>
            </w:pPr>
            <w:r>
              <w:t xml:space="preserve">-75.2%</w:t>
            </w:r>
          </w:p>
        </w:tc>
      </w:tr>
      <w:tr>
        <w:tc>
          <w:tcPr/>
          <w:p>
            <w:pPr>
              <w:pStyle w:val="Compact"/>
            </w:pPr>
            <w:r>
              <w:t xml:space="preserve">8Q</w:t>
            </w:r>
          </w:p>
        </w:tc>
        <w:tc>
          <w:tcPr/>
          <w:p>
            <w:pPr>
              <w:pStyle w:val="Compact"/>
            </w:pPr>
            <w:r>
              <w:t xml:space="preserve">Base</w:t>
            </w:r>
          </w:p>
        </w:tc>
        <w:tc>
          <w:tcPr/>
          <w:p>
            <w:pPr>
              <w:pStyle w:val="Compact"/>
            </w:pPr>
            <w:r>
              <w:t xml:space="preserve">$411.98</w:t>
            </w:r>
          </w:p>
        </w:tc>
        <w:tc>
          <w:tcPr/>
          <w:p>
            <w:pPr>
              <w:pStyle w:val="Compact"/>
            </w:pPr>
            <w:r>
              <w:t xml:space="preserve">-34.8%</w:t>
            </w:r>
          </w:p>
        </w:tc>
      </w:tr>
      <w:tr>
        <w:tc>
          <w:tcPr/>
          <w:p>
            <w:pPr>
              <w:pStyle w:val="Compact"/>
            </w:pPr>
            <w:r>
              <w:t xml:space="preserve">8Q</w:t>
            </w:r>
          </w:p>
        </w:tc>
        <w:tc>
          <w:tcPr/>
          <w:p>
            <w:pPr>
              <w:pStyle w:val="Compact"/>
            </w:pPr>
            <w:r>
              <w:t xml:space="preserve">Bull</w:t>
            </w:r>
          </w:p>
        </w:tc>
        <w:tc>
          <w:tcPr/>
          <w:p>
            <w:pPr>
              <w:pStyle w:val="Compact"/>
            </w:pPr>
            <w:r>
              <w:t xml:space="preserve">$734.04</w:t>
            </w:r>
          </w:p>
        </w:tc>
        <w:tc>
          <w:tcPr/>
          <w:p>
            <w:pPr>
              <w:pStyle w:val="Compact"/>
            </w:pPr>
            <w:r>
              <w:t xml:space="preserve">16.2%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35.8x</w:t>
            </w:r>
          </w:p>
        </w:tc>
      </w:tr>
      <w:tr>
        <w:tc>
          <w:tcPr/>
          <w:p>
            <w:pPr>
              <w:pStyle w:val="Compact"/>
            </w:pPr>
            <w:r>
              <w:t xml:space="preserve">4Q</w:t>
            </w:r>
          </w:p>
        </w:tc>
        <w:tc>
          <w:tcPr/>
          <w:p>
            <w:pPr>
              <w:pStyle w:val="Compact"/>
            </w:pPr>
            <w:r>
              <w:t xml:space="preserve">33.9x</w:t>
            </w:r>
          </w:p>
        </w:tc>
      </w:tr>
      <w:tr>
        <w:tc>
          <w:tcPr/>
          <w:p>
            <w:pPr>
              <w:pStyle w:val="Compact"/>
            </w:pPr>
            <w:r>
              <w:t xml:space="preserve">6Q</w:t>
            </w:r>
          </w:p>
        </w:tc>
        <w:tc>
          <w:tcPr/>
          <w:p>
            <w:pPr>
              <w:pStyle w:val="Compact"/>
            </w:pPr>
            <w:r>
              <w:t xml:space="preserve">32.1x</w:t>
            </w:r>
          </w:p>
        </w:tc>
      </w:tr>
      <w:tr>
        <w:tc>
          <w:tcPr/>
          <w:p>
            <w:pPr>
              <w:pStyle w:val="Compact"/>
            </w:pPr>
            <w:r>
              <w:t xml:space="preserve">8Q</w:t>
            </w:r>
          </w:p>
        </w:tc>
        <w:tc>
          <w:tcPr/>
          <w:p>
            <w:pPr>
              <w:pStyle w:val="Compact"/>
            </w:pPr>
            <w:r>
              <w:t xml:space="preserve">30.4x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7.9%</w:t>
            </w:r>
          </w:p>
        </w:tc>
        <w:tc>
          <w:tcPr/>
          <w:p>
            <w:pPr>
              <w:pStyle w:val="Compact"/>
            </w:pPr>
            <w:r>
              <w:t xml:space="preserve">4.8%</w:t>
            </w:r>
          </w:p>
        </w:tc>
        <w:tc>
          <w:tcPr/>
          <w:p>
            <w:pPr>
              <w:pStyle w:val="Compact"/>
            </w:pPr>
            <w:r>
              <w:t xml:space="preserve">12.4%</w:t>
            </w:r>
          </w:p>
        </w:tc>
        <w:tc>
          <w:tcPr/>
          <w:p>
            <w:pPr>
              <w:pStyle w:val="Compact"/>
            </w:pPr>
            <w:r>
              <w:t xml:space="preserve">2.5%</w:t>
            </w:r>
          </w:p>
        </w:tc>
        <w:tc>
          <w:tcPr/>
          <w:p>
            <w:pPr>
              <w:pStyle w:val="Compact"/>
            </w:pPr>
            <w:r>
              <w:t xml:space="preserve">25.0%</w:t>
            </w:r>
          </w:p>
        </w:tc>
        <w:tc>
          <w:tcPr/>
          <w:p>
            <w:pPr>
              <w:pStyle w:val="Compact"/>
            </w:pPr>
            <w:r>
              <w:t xml:space="preserve">$102.69</w:t>
            </w:r>
          </w:p>
        </w:tc>
        <w:tc>
          <w:tcPr/>
          <w:p>
            <w:pPr>
              <w:pStyle w:val="Compact"/>
            </w:pPr>
            <w:r>
              <w:t xml:space="preserve">-83.7%</w:t>
            </w:r>
          </w:p>
        </w:tc>
      </w:tr>
      <w:tr>
        <w:tc>
          <w:tcPr/>
          <w:p>
            <w:pPr>
              <w:pStyle w:val="Compact"/>
            </w:pPr>
            <w:r>
              <w:t xml:space="preserve">Base</w:t>
            </w:r>
          </w:p>
        </w:tc>
        <w:tc>
          <w:tcPr/>
          <w:p>
            <w:pPr>
              <w:pStyle w:val="Compact"/>
            </w:pPr>
            <w:r>
              <w:t xml:space="preserve">15.8%</w:t>
            </w:r>
          </w:p>
        </w:tc>
        <w:tc>
          <w:tcPr/>
          <w:p>
            <w:pPr>
              <w:pStyle w:val="Compact"/>
            </w:pPr>
            <w:r>
              <w:t xml:space="preserve">6.0%</w:t>
            </w:r>
          </w:p>
        </w:tc>
        <w:tc>
          <w:tcPr/>
          <w:p>
            <w:pPr>
              <w:pStyle w:val="Compact"/>
            </w:pPr>
            <w:r>
              <w:t xml:space="preserve">11.4%</w:t>
            </w:r>
          </w:p>
        </w:tc>
        <w:tc>
          <w:tcPr/>
          <w:p>
            <w:pPr>
              <w:pStyle w:val="Compact"/>
            </w:pPr>
            <w:r>
              <w:t xml:space="preserve">3.0%</w:t>
            </w:r>
          </w:p>
        </w:tc>
        <w:tc>
          <w:tcPr/>
          <w:p>
            <w:pPr>
              <w:pStyle w:val="Compact"/>
            </w:pPr>
            <w:r>
              <w:t xml:space="preserve">50.0%</w:t>
            </w:r>
          </w:p>
        </w:tc>
        <w:tc>
          <w:tcPr/>
          <w:p>
            <w:pPr>
              <w:pStyle w:val="Compact"/>
            </w:pPr>
            <w:r>
              <w:t xml:space="preserve">$229.34</w:t>
            </w:r>
          </w:p>
        </w:tc>
        <w:tc>
          <w:tcPr/>
          <w:p>
            <w:pPr>
              <w:pStyle w:val="Compact"/>
            </w:pPr>
            <w:r>
              <w:t xml:space="preserve">-63.7%</w:t>
            </w:r>
          </w:p>
        </w:tc>
      </w:tr>
      <w:tr>
        <w:tc>
          <w:tcPr/>
          <w:p>
            <w:pPr>
              <w:pStyle w:val="Compact"/>
            </w:pPr>
            <w:r>
              <w:t xml:space="preserve">Bull</w:t>
            </w:r>
          </w:p>
        </w:tc>
        <w:tc>
          <w:tcPr/>
          <w:p>
            <w:pPr>
              <w:pStyle w:val="Compact"/>
            </w:pPr>
            <w:r>
              <w:t xml:space="preserve">20.5%</w:t>
            </w:r>
          </w:p>
        </w:tc>
        <w:tc>
          <w:tcPr/>
          <w:p>
            <w:pPr>
              <w:pStyle w:val="Compact"/>
            </w:pPr>
            <w:r>
              <w:t xml:space="preserve">6.9%</w:t>
            </w:r>
          </w:p>
        </w:tc>
        <w:tc>
          <w:tcPr/>
          <w:p>
            <w:pPr>
              <w:pStyle w:val="Compact"/>
            </w:pPr>
            <w:r>
              <w:t xml:space="preserve">10.9%</w:t>
            </w:r>
          </w:p>
        </w:tc>
        <w:tc>
          <w:tcPr/>
          <w:p>
            <w:pPr>
              <w:pStyle w:val="Compact"/>
            </w:pPr>
            <w:r>
              <w:t xml:space="preserve">3.5%</w:t>
            </w:r>
          </w:p>
        </w:tc>
        <w:tc>
          <w:tcPr/>
          <w:p>
            <w:pPr>
              <w:pStyle w:val="Compact"/>
            </w:pPr>
            <w:r>
              <w:t xml:space="preserve">25.0%</w:t>
            </w:r>
          </w:p>
        </w:tc>
        <w:tc>
          <w:tcPr/>
          <w:p>
            <w:pPr>
              <w:pStyle w:val="Compact"/>
            </w:pPr>
            <w:r>
              <w:t xml:space="preserve">$371.64</w:t>
            </w:r>
          </w:p>
        </w:tc>
        <w:tc>
          <w:tcPr/>
          <w:p>
            <w:pPr>
              <w:pStyle w:val="Compact"/>
            </w:pPr>
            <w:r>
              <w:t xml:space="preserve">-41.2%</w:t>
            </w:r>
          </w:p>
        </w:tc>
      </w:tr>
    </w:tbl>
    <w:p>
      <w:pPr>
        <w:pStyle w:val="BodyText"/>
      </w:pPr>
      <w:r>
        <w:t xml:space="preserve">Probability-weighted value</w:t>
      </w:r>
      <w:r>
        <w:t xml:space="preserve"> </w:t>
      </w:r>
      <w:r>
        <w:rPr>
          <w:b/>
          <w:bCs/>
        </w:rPr>
        <w:t xml:space="preserve">$233.25</w:t>
      </w:r>
      <w:r>
        <w:t xml:space="preserve"> </w:t>
      </w:r>
      <w:r>
        <w:t xml:space="preserve">(-63.1%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40.6 bn USD; terminal share 49.0%.</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40.9%</w:t>
      </w:r>
      <w:r>
        <w:t xml:space="preserve"> </w:t>
      </w:r>
      <w:r>
        <w:t xml:space="preserve">vs consensus FY+1 15.8%.</w:t>
      </w:r>
    </w:p>
    <w:p>
      <w:pPr>
        <w:pStyle w:val="Compact"/>
        <w:numPr>
          <w:ilvl w:val="0"/>
          <w:numId w:val="1013"/>
        </w:numPr>
      </w:pPr>
      <w:r>
        <w:t xml:space="preserve">WACC (CAPM) = rf 5.1% + β 1.27 × ERP 5.0% = 11.4%.</w:t>
      </w:r>
    </w:p>
    <w:p>
      <w:pPr>
        <w:pStyle w:val="Compact"/>
        <w:numPr>
          <w:ilvl w:val="0"/>
          <w:numId w:val="1013"/>
        </w:numPr>
      </w:pPr>
      <w:r>
        <w:t xml:space="preserve">SOTP segments: Electric infrastructure </w:t>
      </w:r>
      <w:r>
        <w:rPr>
          <w:rFonts w:hint="eastAsia"/>
        </w:rPr>
        <w:t xml:space="preserve">电力基础设施;</w:t>
      </w:r>
      <w:r>
        <w:t xml:space="preserve"> Renewable infrastructure </w:t>
      </w:r>
      <w:r>
        <w:rPr>
          <w:rFonts w:hint="eastAsia"/>
        </w:rPr>
        <w:t xml:space="preserve">可再生能源;</w:t>
      </w:r>
      <w:r>
        <w:t xml:space="preserve"> Underground utility </w:t>
      </w:r>
      <w:r>
        <w:rPr>
          <w:rFonts w:hint="eastAsia"/>
        </w:rPr>
        <w:t xml:space="preserve">地下管线</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Permitting delays; renewable policy </w:t>
      </w:r>
      <w:r>
        <w:rPr>
          <w:rFonts w:hint="eastAsia"/>
        </w:rPr>
        <w:t xml:space="preserve">reversal｜审批延迟；可再生政策逆转</w:t>
      </w:r>
      <w:r>
        <w:t xml:space="preserve"> | Falsifiers: Backlog growth stalls; utility capex </w:t>
      </w:r>
      <w:r>
        <w:rPr>
          <w:rFonts w:hint="eastAsia"/>
        </w:rPr>
        <w:t xml:space="preserve">cut｜积压停滞；电力Capex下修</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PWR_model_v20261017-0755.xlsx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07:57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2026-10-16T23:58:32Z</dcterms:created>
  <dcterms:modified xsi:type="dcterms:W3CDTF">2026-10-16T23:58:32Z</dcterms:modified>
</cp:coreProperties>
</file>

<file path=docProps/custom.xml><?xml version="1.0" encoding="utf-8"?>
<Properties xmlns="http://schemas.openxmlformats.org/officeDocument/2006/custom-properties" xmlns:vt="http://schemas.openxmlformats.org/officeDocument/2006/docPropsVTypes"/>
</file>