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e1bf352b3dfcc50ce08467271cb09d31f957d24"/>
    <w:p>
      <w:pPr>
        <w:pStyle w:val="Heading1"/>
      </w:pPr>
      <w:r>
        <w:t xml:space="preserve">TSM Taiwan Semiconductor Manufacturing Company Limited — </w:t>
      </w:r>
      <w:r>
        <w:rPr>
          <w:rFonts w:hint="eastAsia"/>
        </w:rPr>
        <w:t xml:space="preserve">个股深度研究</w:t>
      </w:r>
      <w:r>
        <w:t xml:space="preserve"> </w:t>
      </w:r>
      <w:r>
        <w:rPr>
          <w:rFonts w:hint="eastAsia"/>
        </w:rPr>
        <w:t xml:space="preserve">(专业中文版)</w:t>
      </w:r>
      <w:r>
        <w:t xml:space="preserve"> v20261017-0755</w:t>
      </w:r>
    </w:p>
    <w:p>
      <w:pPr>
        <w:pStyle w:val="BlockText"/>
      </w:pPr>
      <w:r>
        <w:rPr>
          <w:rFonts w:hint="eastAsia"/>
        </w:rPr>
        <w:t xml:space="preserve">数据截至</w:t>
      </w:r>
      <w:r>
        <w:t xml:space="preserve"> 2026-10-17 07:55 </w:t>
      </w:r>
      <w:r>
        <w:rPr>
          <w:rFonts w:hint="eastAsia"/>
        </w:rPr>
        <w:t xml:space="preserve">SGT｜价格</w:t>
      </w:r>
      <w:r>
        <w:t xml:space="preserve"> </w:t>
      </w:r>
      <w:r>
        <w:rPr>
          <w:rFonts w:hint="eastAsia"/>
        </w:rPr>
        <w:t xml:space="preserve">$412.61｜市值</w:t>
      </w:r>
      <w:r>
        <w:t xml:space="preserve"> 2,140.0 bn </w:t>
      </w:r>
      <w:r>
        <w:rPr>
          <w:rFonts w:hint="eastAsia"/>
        </w:rPr>
        <w:t xml:space="preserve">USD｜财报货币</w:t>
      </w:r>
      <w:r>
        <w:t xml:space="preserve"> </w:t>
      </w:r>
      <w:r>
        <w:rPr>
          <w:rFonts w:hint="eastAsia"/>
        </w:rPr>
        <w:t xml:space="preserve">TWD｜非投资建议。事实=CONFIRMED/DATA；推断=INFERENCE；假设=ASSUMPTION/HYPOTHESIS。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台积电是AI芯片无可替代的制造瓶颈，拥有定价权；主要风险是地缘政治与海外厂毛利稀释。财报以新台币计。</w:t>
      </w:r>
    </w:p>
    <w:p>
      <w:pPr>
        <w:pStyle w:val="Compact"/>
        <w:numPr>
          <w:ilvl w:val="0"/>
          <w:numId w:val="1001"/>
        </w:numPr>
      </w:pPr>
      <w:r>
        <w:rPr>
          <w:rFonts w:hint="eastAsia"/>
          <w:b/>
          <w:bCs/>
        </w:rPr>
        <w:t xml:space="preserve">多头驱动</w:t>
      </w:r>
      <w:r>
        <w:t xml:space="preserve">: N2 ramp + price increases; CoWoS doubling; AI accelerators &gt;30% </w:t>
      </w:r>
      <w:r>
        <w:rPr>
          <w:rFonts w:hint="eastAsia"/>
        </w:rPr>
        <w:t xml:space="preserve">revenue｜N2爬坡+涨价；CoWoS倍增；AI加速器占比超30%</w:t>
      </w:r>
    </w:p>
    <w:p>
      <w:pPr>
        <w:pStyle w:val="Compact"/>
        <w:numPr>
          <w:ilvl w:val="0"/>
          <w:numId w:val="1001"/>
        </w:numPr>
      </w:pPr>
      <w:r>
        <w:rPr>
          <w:rFonts w:hint="eastAsia"/>
          <w:b/>
          <w:bCs/>
        </w:rPr>
        <w:t xml:space="preserve">空头驱动</w:t>
      </w:r>
      <w:r>
        <w:t xml:space="preserve">: Geopolitical shock, US tariffs on chips, Intel/Samsung regain </w:t>
      </w:r>
      <w:r>
        <w:rPr>
          <w:rFonts w:hint="eastAsia"/>
        </w:rPr>
        <w:t xml:space="preserve">share｜地缘冲击、美国芯片关税、英特尔/三星夺回份额</w:t>
      </w:r>
    </w:p>
    <w:p>
      <w:pPr>
        <w:pStyle w:val="Compact"/>
        <w:numPr>
          <w:ilvl w:val="0"/>
          <w:numId w:val="1001"/>
        </w:numPr>
      </w:pPr>
      <w:r>
        <w:rPr>
          <w:rFonts w:hint="eastAsia"/>
          <w:b/>
          <w:bCs/>
        </w:rPr>
        <w:t xml:space="preserve">证伪条件</w:t>
      </w:r>
      <w:r>
        <w:rPr>
          <w:b/>
          <w:bCs/>
        </w:rPr>
        <w:t xml:space="preserve"> Falsifiers</w:t>
      </w:r>
      <w:r>
        <w:t xml:space="preserve">: GM falls below long-term target band; monthly revenue y/y decelerates sharply; capex </w:t>
      </w:r>
      <w:r>
        <w:rPr>
          <w:rFonts w:hint="eastAsia"/>
        </w:rPr>
        <w:t xml:space="preserve">cut｜毛利率跌破长期目标区间；月营收同比骤降；Capex下修</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Foundry / Advanced packaging </w:t>
      </w:r>
      <w:r>
        <w:rPr>
          <w:rFonts w:hint="eastAsia"/>
        </w:rPr>
        <w:t xml:space="preserve">晶圆代工/先进封装</w:t>
      </w:r>
    </w:p>
    <w:p>
      <w:pPr>
        <w:pStyle w:val="Compact"/>
        <w:numPr>
          <w:ilvl w:val="0"/>
          <w:numId w:val="1002"/>
        </w:numPr>
      </w:pPr>
      <w:r>
        <w:rPr>
          <w:rFonts w:hint="eastAsia"/>
        </w:rPr>
        <w:t xml:space="preserve">业务分部</w:t>
      </w:r>
      <w:r>
        <w:t xml:space="preserve"> Segments: HPC/AI </w:t>
      </w:r>
      <w:r>
        <w:rPr>
          <w:rFonts w:hint="eastAsia"/>
        </w:rPr>
        <w:t xml:space="preserve">高性能计算；Smartphone</w:t>
      </w:r>
      <w:r>
        <w:t xml:space="preserve"> </w:t>
      </w:r>
      <w:r>
        <w:rPr>
          <w:rFonts w:hint="eastAsia"/>
        </w:rPr>
        <w:t xml:space="preserve">智能手机；IoT/Auto/DCE</w:t>
      </w:r>
      <w:r>
        <w:t xml:space="preserve">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Taiwan Semiconductor Manufacturing Company Limited, together with its subsidiaries, manufactures, packages, tests, and sells integrated circuits and other semiconductor devices in Taiwan, China, Europe, the Middle East, Africa, Japan, the United States, and internationally. It provides various wafer fabrication processes, such as processes to manufacture complementary metal- oxide-semiconductor (CMOS) logic, mixed-signal, radio frequency, embedded memory, bipolar CMOS mixed-signal, and others. The company also involved in providing customer and engineering support services; manufacturing of masks; investment in technology start-up companies; research, designing, developing, manufacturing, packaging, testing, and sale of color filters; and investment activities. Its products are used in high performance computing, smartphones, Internet of things, automotive, and digital consumer electroni</w:t>
      </w:r>
    </w:p>
    <w:p>
      <w:pPr>
        <w:pStyle w:val="Compact"/>
        <w:numPr>
          <w:ilvl w:val="0"/>
          <w:numId w:val="1002"/>
        </w:numPr>
      </w:pPr>
      <w:r>
        <w:rPr>
          <w:rFonts w:hint="eastAsia"/>
        </w:rPr>
        <w:t xml:space="preserve">主要客户:</w:t>
      </w:r>
      <w:r>
        <w:t xml:space="preserve"> NVDA, Apple, AMD, Broadcom, Qualcomm, MediaTek, Marvell, hyperscaler </w:t>
      </w:r>
      <w:r>
        <w:rPr>
          <w:rFonts w:hint="eastAsia"/>
        </w:rPr>
        <w:t xml:space="preserve">ASICs｜NVDA、苹果、AMD、博通、高通、联发科、Marvell、云厂ASIC</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ASML (EUV), AMAT/LRCX/TEL/KLAC, Shin-Etsu/SUMCO (wafers), </w:t>
      </w:r>
      <w:r>
        <w:rPr>
          <w:rFonts w:hint="eastAsia"/>
        </w:rPr>
        <w:t xml:space="preserve">chemicals｜ASML、设备商、硅片、化学品</w:t>
      </w:r>
    </w:p>
    <w:p>
      <w:pPr>
        <w:pStyle w:val="Compact"/>
        <w:numPr>
          <w:ilvl w:val="0"/>
          <w:numId w:val="1003"/>
        </w:numPr>
      </w:pPr>
      <w:r>
        <w:rPr>
          <w:rFonts w:hint="eastAsia"/>
        </w:rPr>
        <w:t xml:space="preserve">竞争者</w:t>
      </w:r>
      <w:r>
        <w:t xml:space="preserve"> </w:t>
      </w:r>
      <w:r>
        <w:rPr>
          <w:rFonts w:hint="eastAsia"/>
        </w:rPr>
        <w:t xml:space="preserve">(含业外):</w:t>
      </w:r>
      <w:r>
        <w:t xml:space="preserve"> Samsung Foundry, Intel Foundry (18A/14A), </w:t>
      </w:r>
      <w:r>
        <w:rPr>
          <w:rFonts w:hint="eastAsia"/>
        </w:rPr>
        <w:t xml:space="preserve">SMIC｜三星代工、英特尔代工、中芯国际</w:t>
      </w:r>
    </w:p>
    <w:p>
      <w:pPr>
        <w:pStyle w:val="Compact"/>
        <w:numPr>
          <w:ilvl w:val="0"/>
          <w:numId w:val="1003"/>
        </w:numPr>
      </w:pPr>
      <w:r>
        <w:rPr>
          <w:rFonts w:hint="eastAsia"/>
        </w:rPr>
        <w:t xml:space="preserve">瓶颈/监管:</w:t>
      </w:r>
      <w:r>
        <w:t xml:space="preserve"> CoWoS/SoIC capacity, N2/A16 ramp, overseas fab cost (Arizona/Japan), Taiwan geopolitics, </w:t>
      </w:r>
      <w:r>
        <w:rPr>
          <w:rFonts w:hint="eastAsia"/>
        </w:rPr>
        <w:t xml:space="preserve">power/water｜CoWoS/SoIC产能、N2/A16爬坡、海外厂成本、台海地缘、电力水资源</w:t>
      </w:r>
    </w:p>
    <w:p>
      <w:pPr>
        <w:pStyle w:val="Compact"/>
        <w:numPr>
          <w:ilvl w:val="0"/>
          <w:numId w:val="1003"/>
        </w:numPr>
      </w:pPr>
      <w:r>
        <w:rPr>
          <w:rFonts w:hint="eastAsia"/>
        </w:rPr>
        <w:t xml:space="preserve">关键KPI:</w:t>
      </w:r>
      <w:r>
        <w:t xml:space="preserve"> Monthly revenue, GM%, HPC mix, N3/N2 mix, capex, CoWoS </w:t>
      </w:r>
      <w:r>
        <w:rPr>
          <w:rFonts w:hint="eastAsia"/>
        </w:rPr>
        <w:t xml:space="preserve">capacity｜月营收、毛利率、HPC占比、先进制程占比、Capex、CoWoS产能</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twd"/>
    <w:p>
      <w:pPr>
        <w:pStyle w:val="Heading2"/>
      </w:pPr>
      <w:r>
        <w:t xml:space="preserve">4. </w:t>
      </w:r>
      <w:r>
        <w:rPr>
          <w:rFonts w:hint="eastAsia"/>
        </w:rPr>
        <w:t xml:space="preserve">历史财务与现金流</w:t>
      </w:r>
      <w:r>
        <w:t xml:space="preserve"> (CONFIRMED, </w:t>
      </w:r>
      <w:r>
        <w:rPr>
          <w:rFonts w:hint="eastAsia"/>
        </w:rPr>
        <w:t xml:space="preserve">季度,</w:t>
      </w:r>
      <w:r>
        <w:t xml:space="preserve"> TWD)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1,270.4 bn TWD</w:t>
            </w:r>
          </w:p>
        </w:tc>
        <w:tc>
          <w:tcPr/>
          <w:p>
            <w:pPr>
              <w:pStyle w:val="Compact"/>
            </w:pPr>
            <w:r>
              <w:t xml:space="preserve">860.3 bn TWD</w:t>
            </w:r>
          </w:p>
        </w:tc>
        <w:tc>
          <w:tcPr/>
          <w:p>
            <w:pPr>
              <w:pStyle w:val="Compact"/>
            </w:pPr>
            <w:r>
              <w:t xml:space="preserve">766.6 bn TWD</w:t>
            </w:r>
          </w:p>
        </w:tc>
        <w:tc>
          <w:tcPr/>
          <w:p>
            <w:pPr>
              <w:pStyle w:val="Compact"/>
            </w:pPr>
            <w:r>
              <w:t xml:space="preserve">706.6 bn TWD</w:t>
            </w:r>
          </w:p>
        </w:tc>
        <w:tc>
          <w:tcPr/>
          <w:p>
            <w:pPr>
              <w:pStyle w:val="Compact"/>
            </w:pPr>
            <w:r>
              <w:t xml:space="preserve">275.0 bn TWD</w:t>
            </w:r>
          </w:p>
        </w:tc>
        <w:tc>
          <w:tcPr/>
          <w:p>
            <w:pPr>
              <w:pStyle w:val="Compact"/>
            </w:pPr>
            <w:r>
              <w:t xml:space="preserve">60.3%</w:t>
            </w:r>
          </w:p>
        </w:tc>
      </w:tr>
      <w:tr>
        <w:tc>
          <w:tcPr/>
          <w:p>
            <w:pPr>
              <w:pStyle w:val="Compact"/>
            </w:pPr>
            <w:r>
              <w:t xml:space="preserve">2026-03-31</w:t>
            </w:r>
          </w:p>
        </w:tc>
        <w:tc>
          <w:tcPr/>
          <w:p>
            <w:pPr>
              <w:pStyle w:val="Compact"/>
            </w:pPr>
            <w:r>
              <w:t xml:space="preserve">1,134.1 bn TWD</w:t>
            </w:r>
          </w:p>
        </w:tc>
        <w:tc>
          <w:tcPr/>
          <w:p>
            <w:pPr>
              <w:pStyle w:val="Compact"/>
            </w:pPr>
            <w:r>
              <w:t xml:space="preserve">751.3 bn TWD</w:t>
            </w:r>
          </w:p>
        </w:tc>
        <w:tc>
          <w:tcPr/>
          <w:p>
            <w:pPr>
              <w:pStyle w:val="Compact"/>
            </w:pPr>
            <w:r>
              <w:t xml:space="preserve">658.9 bn TWD</w:t>
            </w:r>
          </w:p>
        </w:tc>
        <w:tc>
          <w:tcPr/>
          <w:p>
            <w:pPr>
              <w:pStyle w:val="Compact"/>
            </w:pPr>
            <w:r>
              <w:t xml:space="preserve">572.5 bn TWD</w:t>
            </w:r>
          </w:p>
        </w:tc>
        <w:tc>
          <w:tcPr/>
          <w:p>
            <w:pPr>
              <w:pStyle w:val="Compact"/>
            </w:pPr>
            <w:r>
              <w:t xml:space="preserve">347.3 bn TWD</w:t>
            </w:r>
          </w:p>
        </w:tc>
        <w:tc>
          <w:tcPr/>
          <w:p>
            <w:pPr>
              <w:pStyle w:val="Compact"/>
            </w:pPr>
            <w:r>
              <w:t xml:space="preserve">58.1%</w:t>
            </w:r>
          </w:p>
        </w:tc>
      </w:tr>
      <w:tr>
        <w:tc>
          <w:tcPr/>
          <w:p>
            <w:pPr>
              <w:pStyle w:val="Compact"/>
            </w:pPr>
            <w:r>
              <w:t xml:space="preserve">2025-12-31</w:t>
            </w:r>
          </w:p>
        </w:tc>
        <w:tc>
          <w:tcPr/>
          <w:p>
            <w:pPr>
              <w:pStyle w:val="Compact"/>
            </w:pPr>
            <w:r>
              <w:t xml:space="preserve">1,046.1 bn TWD</w:t>
            </w:r>
          </w:p>
        </w:tc>
        <w:tc>
          <w:tcPr/>
          <w:p>
            <w:pPr>
              <w:pStyle w:val="Compact"/>
            </w:pPr>
            <w:r>
              <w:t xml:space="preserve">652.0 bn TWD</w:t>
            </w:r>
          </w:p>
        </w:tc>
        <w:tc>
          <w:tcPr/>
          <w:p>
            <w:pPr>
              <w:pStyle w:val="Compact"/>
            </w:pPr>
            <w:r>
              <w:t xml:space="preserve">564.9 bn TWD</w:t>
            </w:r>
          </w:p>
        </w:tc>
        <w:tc>
          <w:tcPr/>
          <w:p>
            <w:pPr>
              <w:pStyle w:val="Compact"/>
            </w:pPr>
            <w:r>
              <w:t xml:space="preserve">485.5 bn TWD</w:t>
            </w:r>
          </w:p>
        </w:tc>
        <w:tc>
          <w:tcPr/>
          <w:p>
            <w:pPr>
              <w:pStyle w:val="Compact"/>
            </w:pPr>
            <w:r>
              <w:t xml:space="preserve">364.0 bn TWD</w:t>
            </w:r>
          </w:p>
        </w:tc>
        <w:tc>
          <w:tcPr/>
          <w:p>
            <w:pPr>
              <w:pStyle w:val="Compact"/>
            </w:pPr>
            <w:r>
              <w:t xml:space="preserve">54.0%</w:t>
            </w:r>
          </w:p>
        </w:tc>
      </w:tr>
      <w:tr>
        <w:tc>
          <w:tcPr/>
          <w:p>
            <w:pPr>
              <w:pStyle w:val="Compact"/>
            </w:pPr>
            <w:r>
              <w:t xml:space="preserve">2025-09-30</w:t>
            </w:r>
          </w:p>
        </w:tc>
        <w:tc>
          <w:tcPr/>
          <w:p>
            <w:pPr>
              <w:pStyle w:val="Compact"/>
            </w:pPr>
            <w:r>
              <w:t xml:space="preserve">989.9 bn TWD</w:t>
            </w:r>
          </w:p>
        </w:tc>
        <w:tc>
          <w:tcPr/>
          <w:p>
            <w:pPr>
              <w:pStyle w:val="Compact"/>
            </w:pPr>
            <w:r>
              <w:t xml:space="preserve">588.5 bn TWD</w:t>
            </w:r>
          </w:p>
        </w:tc>
        <w:tc>
          <w:tcPr/>
          <w:p>
            <w:pPr>
              <w:pStyle w:val="Compact"/>
            </w:pPr>
            <w:r>
              <w:t xml:space="preserve">500.7 bn TWD</w:t>
            </w:r>
          </w:p>
        </w:tc>
        <w:tc>
          <w:tcPr/>
          <w:p>
            <w:pPr>
              <w:pStyle w:val="Compact"/>
            </w:pPr>
            <w:r>
              <w:t xml:space="preserve">452.3 bn TWD</w:t>
            </w:r>
          </w:p>
        </w:tc>
        <w:tc>
          <w:tcPr/>
          <w:p>
            <w:pPr>
              <w:pStyle w:val="Compact"/>
            </w:pPr>
            <w:r>
              <w:t xml:space="preserve">138.4 bn TWD</w:t>
            </w:r>
          </w:p>
        </w:tc>
        <w:tc>
          <w:tcPr/>
          <w:p>
            <w:pPr>
              <w:pStyle w:val="Compact"/>
            </w:pPr>
            <w:r>
              <w:t xml:space="preserve">50.6%</w:t>
            </w:r>
          </w:p>
        </w:tc>
      </w:tr>
      <w:tr>
        <w:tc>
          <w:tcPr/>
          <w:p>
            <w:pPr>
              <w:pStyle w:val="Compact"/>
            </w:pPr>
            <w:r>
              <w:t xml:space="preserve">2025-06-30</w:t>
            </w:r>
          </w:p>
        </w:tc>
        <w:tc>
          <w:tcPr/>
          <w:p>
            <w:pPr>
              <w:pStyle w:val="Compact"/>
            </w:pPr>
            <w:r>
              <w:t xml:space="preserve">933.8 bn TWD</w:t>
            </w:r>
          </w:p>
        </w:tc>
        <w:tc>
          <w:tcPr/>
          <w:p>
            <w:pPr>
              <w:pStyle w:val="Compact"/>
            </w:pPr>
            <w:r>
              <w:t xml:space="preserve">547.4 bn TWD</w:t>
            </w:r>
          </w:p>
        </w:tc>
        <w:tc>
          <w:tcPr/>
          <w:p>
            <w:pPr>
              <w:pStyle w:val="Compact"/>
            </w:pPr>
            <w:r>
              <w:t xml:space="preserve">463.4 bn TWD</w:t>
            </w:r>
          </w:p>
        </w:tc>
        <w:tc>
          <w:tcPr/>
          <w:p>
            <w:pPr>
              <w:pStyle w:val="Compact"/>
            </w:pPr>
            <w:r>
              <w:t xml:space="preserve">398.3 bn TWD</w:t>
            </w:r>
          </w:p>
        </w:tc>
        <w:tc>
          <w:tcPr/>
          <w:p>
            <w:pPr>
              <w:pStyle w:val="Compact"/>
            </w:pPr>
            <w:r>
              <w:t xml:space="preserve">199.8 bn TWD</w:t>
            </w:r>
          </w:p>
        </w:tc>
        <w:tc>
          <w:tcPr/>
          <w:p>
            <w:pPr>
              <w:pStyle w:val="Compact"/>
            </w:pPr>
            <w:r>
              <w:t xml:space="preserve">49.6%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3,518.0 bn </w:t>
      </w:r>
      <w:r>
        <w:rPr>
          <w:rFonts w:hint="eastAsia"/>
        </w:rPr>
        <w:t xml:space="preserve">TWD；总负债</w:t>
      </w:r>
      <w:r>
        <w:t xml:space="preserve"> 1,068.6 bn </w:t>
      </w:r>
      <w:r>
        <w:rPr>
          <w:rFonts w:hint="eastAsia"/>
        </w:rPr>
        <w:t xml:space="preserve">TWD；净现金</w:t>
      </w:r>
      <w:r>
        <w:t xml:space="preserve"> 2,449.5 bn TWD。TTM FCF 1,124.7 bn </w:t>
      </w:r>
      <w:r>
        <w:rPr>
          <w:rFonts w:hint="eastAsia"/>
        </w:rPr>
        <w:t xml:space="preserve">TWD（FCF率</w:t>
      </w:r>
      <w:r>
        <w:t xml:space="preserve"> </w:t>
      </w:r>
      <w:r>
        <w:rPr>
          <w:rFonts w:hint="eastAsia"/>
        </w:rPr>
        <w:t xml:space="preserve">25.3%）。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2025-12-31</w:t>
            </w:r>
          </w:p>
        </w:tc>
        <w:tc>
          <w:tcPr/>
          <w:p>
            <w:pPr>
              <w:pStyle w:val="Compact"/>
            </w:pPr>
            <w:r>
              <w:t xml:space="preserve">3.14</w:t>
            </w:r>
          </w:p>
        </w:tc>
        <w:tc>
          <w:tcPr/>
          <w:p>
            <w:pPr>
              <w:pStyle w:val="Compact"/>
            </w:pPr>
            <w:r>
              <w:t xml:space="preserve">2.97556</w:t>
            </w:r>
          </w:p>
        </w:tc>
        <w:tc>
          <w:tcPr/>
          <w:p>
            <w:pPr>
              <w:pStyle w:val="Compact"/>
            </w:pPr>
            <w:r>
              <w:t xml:space="preserve">0.0553</w:t>
            </w:r>
          </w:p>
        </w:tc>
      </w:tr>
      <w:tr>
        <w:tc>
          <w:tcPr/>
          <w:p>
            <w:pPr>
              <w:pStyle w:val="Compact"/>
            </w:pPr>
            <w:r>
              <w:t xml:space="preserve">2026-03-31</w:t>
            </w:r>
          </w:p>
        </w:tc>
        <w:tc>
          <w:tcPr/>
          <w:p>
            <w:pPr>
              <w:pStyle w:val="Compact"/>
            </w:pPr>
            <w:r>
              <w:t xml:space="preserve">3.49</w:t>
            </w:r>
          </w:p>
        </w:tc>
        <w:tc>
          <w:tcPr/>
          <w:p>
            <w:pPr>
              <w:pStyle w:val="Compact"/>
            </w:pPr>
            <w:r>
              <w:t xml:space="preserve">3.33393</w:t>
            </w:r>
          </w:p>
        </w:tc>
        <w:tc>
          <w:tcPr/>
          <w:p>
            <w:pPr>
              <w:pStyle w:val="Compact"/>
            </w:pPr>
            <w:r>
              <w:t xml:space="preserve">0.0468</w:t>
            </w:r>
          </w:p>
        </w:tc>
      </w:tr>
      <w:tr>
        <w:tc>
          <w:tcPr/>
          <w:p>
            <w:pPr>
              <w:pStyle w:val="Compact"/>
            </w:pPr>
            <w:r>
              <w:t xml:space="preserve">2026-06-30</w:t>
            </w:r>
          </w:p>
        </w:tc>
        <w:tc>
          <w:tcPr/>
          <w:p>
            <w:pPr>
              <w:pStyle w:val="Compact"/>
            </w:pPr>
            <w:r>
              <w:t xml:space="preserve">4.31</w:t>
            </w:r>
          </w:p>
        </w:tc>
        <w:tc>
          <w:tcPr/>
          <w:p>
            <w:pPr>
              <w:pStyle w:val="Compact"/>
            </w:pPr>
            <w:r>
              <w:t xml:space="preserve">3.88658</w:t>
            </w:r>
          </w:p>
        </w:tc>
        <w:tc>
          <w:tcPr/>
          <w:p>
            <w:pPr>
              <w:pStyle w:val="Compact"/>
            </w:pPr>
            <w:r>
              <w:t xml:space="preserve">0.1089</w:t>
            </w:r>
          </w:p>
        </w:tc>
      </w:tr>
      <w:tr>
        <w:tc>
          <w:tcPr/>
          <w:p>
            <w:pPr>
              <w:pStyle w:val="Compact"/>
            </w:pPr>
            <w:r>
              <w:t xml:space="preserve">2026-09-30</w:t>
            </w:r>
          </w:p>
        </w:tc>
        <w:tc>
          <w:tcPr/>
          <w:p>
            <w:pPr>
              <w:pStyle w:val="Compact"/>
            </w:pPr>
            <w:r>
              <w:t xml:space="preserve">4.6</w:t>
            </w:r>
          </w:p>
        </w:tc>
        <w:tc>
          <w:tcPr/>
          <w:p>
            <w:pPr>
              <w:pStyle w:val="Compact"/>
            </w:pPr>
            <w:r>
              <w:t xml:space="preserve">4.52449</w:t>
            </w:r>
          </w:p>
        </w:tc>
        <w:tc>
          <w:tcPr/>
          <w:p>
            <w:pPr>
              <w:pStyle w:val="Compact"/>
            </w:pPr>
            <w:r>
              <w:t xml:space="preserve">0.0167</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2027-01-14</w:t>
      </w:r>
      <w:r>
        <w:rPr>
          <w:rFonts w:hint="eastAsia"/>
        </w:rPr>
        <w:t xml:space="preserve">；本季EPS一致预期</w:t>
      </w:r>
      <w:r>
        <w:t xml:space="preserve"> </w:t>
      </w:r>
      <w:r>
        <w:rPr>
          <w:rFonts w:hint="eastAsia"/>
        </w:rPr>
        <w:t xml:space="preserve">5.1641（8位分析师）；收入一致预期</w:t>
      </w:r>
      <w:r>
        <w:t xml:space="preserve"> 1,705.2 bn TWD。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$134.31</w:t>
            </w:r>
          </w:p>
        </w:tc>
        <w:tc>
          <w:tcPr/>
          <w:p>
            <w:pPr>
              <w:pStyle w:val="Compact"/>
            </w:pPr>
            <w:r>
              <w:t xml:space="preserve">-67.4%</w:t>
            </w:r>
          </w:p>
        </w:tc>
      </w:tr>
      <w:tr>
        <w:tc>
          <w:tcPr/>
          <w:p>
            <w:pPr>
              <w:pStyle w:val="Compact"/>
            </w:pPr>
            <w:r>
              <w:t xml:space="preserve">2Q</w:t>
            </w:r>
          </w:p>
        </w:tc>
        <w:tc>
          <w:tcPr/>
          <w:p>
            <w:pPr>
              <w:pStyle w:val="Compact"/>
            </w:pPr>
            <w:r>
              <w:t xml:space="preserve">Base</w:t>
            </w:r>
          </w:p>
        </w:tc>
        <w:tc>
          <w:tcPr/>
          <w:p>
            <w:pPr>
              <w:pStyle w:val="Compact"/>
            </w:pPr>
            <w:r>
              <w:t xml:space="preserve">$283.47</w:t>
            </w:r>
          </w:p>
        </w:tc>
        <w:tc>
          <w:tcPr/>
          <w:p>
            <w:pPr>
              <w:pStyle w:val="Compact"/>
            </w:pPr>
            <w:r>
              <w:t xml:space="preserve">-31.3%</w:t>
            </w:r>
          </w:p>
        </w:tc>
      </w:tr>
      <w:tr>
        <w:tc>
          <w:tcPr/>
          <w:p>
            <w:pPr>
              <w:pStyle w:val="Compact"/>
            </w:pPr>
            <w:r>
              <w:t xml:space="preserve">2Q</w:t>
            </w:r>
          </w:p>
        </w:tc>
        <w:tc>
          <w:tcPr/>
          <w:p>
            <w:pPr>
              <w:pStyle w:val="Compact"/>
            </w:pPr>
            <w:r>
              <w:t xml:space="preserve">Bull</w:t>
            </w:r>
          </w:p>
        </w:tc>
        <w:tc>
          <w:tcPr/>
          <w:p>
            <w:pPr>
              <w:pStyle w:val="Compact"/>
            </w:pPr>
            <w:r>
              <w:t xml:space="preserve">$461.11</w:t>
            </w:r>
          </w:p>
        </w:tc>
        <w:tc>
          <w:tcPr/>
          <w:p>
            <w:pPr>
              <w:pStyle w:val="Compact"/>
            </w:pPr>
            <w:r>
              <w:t xml:space="preserve">11.8%</w:t>
            </w:r>
          </w:p>
        </w:tc>
      </w:tr>
      <w:tr>
        <w:tc>
          <w:tcPr/>
          <w:p>
            <w:pPr>
              <w:pStyle w:val="Compact"/>
            </w:pPr>
            <w:r>
              <w:t xml:space="preserve">4Q</w:t>
            </w:r>
          </w:p>
        </w:tc>
        <w:tc>
          <w:tcPr/>
          <w:p>
            <w:pPr>
              <w:pStyle w:val="Compact"/>
            </w:pPr>
            <w:r>
              <w:t xml:space="preserve">Bear</w:t>
            </w:r>
          </w:p>
        </w:tc>
        <w:tc>
          <w:tcPr/>
          <w:p>
            <w:pPr>
              <w:pStyle w:val="Compact"/>
            </w:pPr>
            <w:r>
              <w:t xml:space="preserve">$136.30</w:t>
            </w:r>
          </w:p>
        </w:tc>
        <w:tc>
          <w:tcPr/>
          <w:p>
            <w:pPr>
              <w:pStyle w:val="Compact"/>
            </w:pPr>
            <w:r>
              <w:t xml:space="preserve">-67.0%</w:t>
            </w:r>
          </w:p>
        </w:tc>
      </w:tr>
      <w:tr>
        <w:tc>
          <w:tcPr/>
          <w:p>
            <w:pPr>
              <w:pStyle w:val="Compact"/>
            </w:pPr>
            <w:r>
              <w:t xml:space="preserve">4Q</w:t>
            </w:r>
          </w:p>
        </w:tc>
        <w:tc>
          <w:tcPr/>
          <w:p>
            <w:pPr>
              <w:pStyle w:val="Compact"/>
            </w:pPr>
            <w:r>
              <w:t xml:space="preserve">Base</w:t>
            </w:r>
          </w:p>
        </w:tc>
        <w:tc>
          <w:tcPr/>
          <w:p>
            <w:pPr>
              <w:pStyle w:val="Compact"/>
            </w:pPr>
            <w:r>
              <w:t xml:space="preserve">$318.08</w:t>
            </w:r>
          </w:p>
        </w:tc>
        <w:tc>
          <w:tcPr/>
          <w:p>
            <w:pPr>
              <w:pStyle w:val="Compact"/>
            </w:pPr>
            <w:r>
              <w:t xml:space="preserve">-22.9%</w:t>
            </w:r>
          </w:p>
        </w:tc>
      </w:tr>
      <w:tr>
        <w:tc>
          <w:tcPr/>
          <w:p>
            <w:pPr>
              <w:pStyle w:val="Compact"/>
            </w:pPr>
            <w:r>
              <w:t xml:space="preserve">4Q</w:t>
            </w:r>
          </w:p>
        </w:tc>
        <w:tc>
          <w:tcPr/>
          <w:p>
            <w:pPr>
              <w:pStyle w:val="Compact"/>
            </w:pPr>
            <w:r>
              <w:t xml:space="preserve">Bull</w:t>
            </w:r>
          </w:p>
        </w:tc>
        <w:tc>
          <w:tcPr/>
          <w:p>
            <w:pPr>
              <w:pStyle w:val="Compact"/>
            </w:pPr>
            <w:r>
              <w:t xml:space="preserve">$548.35</w:t>
            </w:r>
          </w:p>
        </w:tc>
        <w:tc>
          <w:tcPr/>
          <w:p>
            <w:pPr>
              <w:pStyle w:val="Compact"/>
            </w:pPr>
            <w:r>
              <w:t xml:space="preserve">32.9%</w:t>
            </w:r>
          </w:p>
        </w:tc>
      </w:tr>
      <w:tr>
        <w:tc>
          <w:tcPr/>
          <w:p>
            <w:pPr>
              <w:pStyle w:val="Compact"/>
            </w:pPr>
            <w:r>
              <w:t xml:space="preserve">6Q</w:t>
            </w:r>
          </w:p>
        </w:tc>
        <w:tc>
          <w:tcPr/>
          <w:p>
            <w:pPr>
              <w:pStyle w:val="Compact"/>
            </w:pPr>
            <w:r>
              <w:t xml:space="preserve">Bear</w:t>
            </w:r>
          </w:p>
        </w:tc>
        <w:tc>
          <w:tcPr/>
          <w:p>
            <w:pPr>
              <w:pStyle w:val="Compact"/>
            </w:pPr>
            <w:r>
              <w:t xml:space="preserve">$138.39</w:t>
            </w:r>
          </w:p>
        </w:tc>
        <w:tc>
          <w:tcPr/>
          <w:p>
            <w:pPr>
              <w:pStyle w:val="Compact"/>
            </w:pPr>
            <w:r>
              <w:t xml:space="preserve">-66.5%</w:t>
            </w:r>
          </w:p>
        </w:tc>
      </w:tr>
      <w:tr>
        <w:tc>
          <w:tcPr/>
          <w:p>
            <w:pPr>
              <w:pStyle w:val="Compact"/>
            </w:pPr>
            <w:r>
              <w:t xml:space="preserve">6Q</w:t>
            </w:r>
          </w:p>
        </w:tc>
        <w:tc>
          <w:tcPr/>
          <w:p>
            <w:pPr>
              <w:pStyle w:val="Compact"/>
            </w:pPr>
            <w:r>
              <w:t xml:space="preserve">Base</w:t>
            </w:r>
          </w:p>
        </w:tc>
        <w:tc>
          <w:tcPr/>
          <w:p>
            <w:pPr>
              <w:pStyle w:val="Compact"/>
            </w:pPr>
            <w:r>
              <w:t xml:space="preserve">$357.24</w:t>
            </w:r>
          </w:p>
        </w:tc>
        <w:tc>
          <w:tcPr/>
          <w:p>
            <w:pPr>
              <w:pStyle w:val="Compact"/>
            </w:pPr>
            <w:r>
              <w:t xml:space="preserve">-13.4%</w:t>
            </w:r>
          </w:p>
        </w:tc>
      </w:tr>
      <w:tr>
        <w:tc>
          <w:tcPr/>
          <w:p>
            <w:pPr>
              <w:pStyle w:val="Compact"/>
            </w:pPr>
            <w:r>
              <w:t xml:space="preserve">6Q</w:t>
            </w:r>
          </w:p>
        </w:tc>
        <w:tc>
          <w:tcPr/>
          <w:p>
            <w:pPr>
              <w:pStyle w:val="Compact"/>
            </w:pPr>
            <w:r>
              <w:t xml:space="preserve">Bull</w:t>
            </w:r>
          </w:p>
        </w:tc>
        <w:tc>
          <w:tcPr/>
          <w:p>
            <w:pPr>
              <w:pStyle w:val="Compact"/>
            </w:pPr>
            <w:r>
              <w:t xml:space="preserve">$652.27</w:t>
            </w:r>
          </w:p>
        </w:tc>
        <w:tc>
          <w:tcPr/>
          <w:p>
            <w:pPr>
              <w:pStyle w:val="Compact"/>
            </w:pPr>
            <w:r>
              <w:t xml:space="preserve">58.1%</w:t>
            </w:r>
          </w:p>
        </w:tc>
      </w:tr>
      <w:tr>
        <w:tc>
          <w:tcPr/>
          <w:p>
            <w:pPr>
              <w:pStyle w:val="Compact"/>
            </w:pPr>
            <w:r>
              <w:t xml:space="preserve">8Q</w:t>
            </w:r>
          </w:p>
        </w:tc>
        <w:tc>
          <w:tcPr/>
          <w:p>
            <w:pPr>
              <w:pStyle w:val="Compact"/>
            </w:pPr>
            <w:r>
              <w:t xml:space="preserve">Bear</w:t>
            </w:r>
          </w:p>
        </w:tc>
        <w:tc>
          <w:tcPr/>
          <w:p>
            <w:pPr>
              <w:pStyle w:val="Compact"/>
            </w:pPr>
            <w:r>
              <w:t xml:space="preserve">$140.58</w:t>
            </w:r>
          </w:p>
        </w:tc>
        <w:tc>
          <w:tcPr/>
          <w:p>
            <w:pPr>
              <w:pStyle w:val="Compact"/>
            </w:pPr>
            <w:r>
              <w:t xml:space="preserve">-65.9%</w:t>
            </w:r>
          </w:p>
        </w:tc>
      </w:tr>
      <w:tr>
        <w:tc>
          <w:tcPr/>
          <w:p>
            <w:pPr>
              <w:pStyle w:val="Compact"/>
            </w:pPr>
            <w:r>
              <w:t xml:space="preserve">8Q</w:t>
            </w:r>
          </w:p>
        </w:tc>
        <w:tc>
          <w:tcPr/>
          <w:p>
            <w:pPr>
              <w:pStyle w:val="Compact"/>
            </w:pPr>
            <w:r>
              <w:t xml:space="preserve">Base</w:t>
            </w:r>
          </w:p>
        </w:tc>
        <w:tc>
          <w:tcPr/>
          <w:p>
            <w:pPr>
              <w:pStyle w:val="Compact"/>
            </w:pPr>
            <w:r>
              <w:t xml:space="preserve">$401.53</w:t>
            </w:r>
          </w:p>
        </w:tc>
        <w:tc>
          <w:tcPr/>
          <w:p>
            <w:pPr>
              <w:pStyle w:val="Compact"/>
            </w:pPr>
            <w:r>
              <w:t xml:space="preserve">-2.7%</w:t>
            </w:r>
          </w:p>
        </w:tc>
      </w:tr>
      <w:tr>
        <w:tc>
          <w:tcPr/>
          <w:p>
            <w:pPr>
              <w:pStyle w:val="Compact"/>
            </w:pPr>
            <w:r>
              <w:t xml:space="preserve">8Q</w:t>
            </w:r>
          </w:p>
        </w:tc>
        <w:tc>
          <w:tcPr/>
          <w:p>
            <w:pPr>
              <w:pStyle w:val="Compact"/>
            </w:pPr>
            <w:r>
              <w:t xml:space="preserve">Bull</w:t>
            </w:r>
          </w:p>
        </w:tc>
        <w:tc>
          <w:tcPr/>
          <w:p>
            <w:pPr>
              <w:pStyle w:val="Compact"/>
            </w:pPr>
            <w:r>
              <w:t xml:space="preserve">$775.94</w:t>
            </w:r>
          </w:p>
        </w:tc>
        <w:tc>
          <w:tcPr/>
          <w:p>
            <w:pPr>
              <w:pStyle w:val="Compact"/>
            </w:pPr>
            <w:r>
              <w:t xml:space="preserve">88.1%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35.0x</w:t>
            </w:r>
          </w:p>
        </w:tc>
      </w:tr>
      <w:tr>
        <w:tc>
          <w:tcPr/>
          <w:p>
            <w:pPr>
              <w:pStyle w:val="Compact"/>
            </w:pPr>
            <w:r>
              <w:t xml:space="preserve">4Q</w:t>
            </w:r>
          </w:p>
        </w:tc>
        <w:tc>
          <w:tcPr/>
          <w:p>
            <w:pPr>
              <w:pStyle w:val="Compact"/>
            </w:pPr>
            <w:r>
              <w:t xml:space="preserve">29.3x</w:t>
            </w:r>
          </w:p>
        </w:tc>
      </w:tr>
      <w:tr>
        <w:tc>
          <w:tcPr/>
          <w:p>
            <w:pPr>
              <w:pStyle w:val="Compact"/>
            </w:pPr>
            <w:r>
              <w:t xml:space="preserve">6Q</w:t>
            </w:r>
          </w:p>
        </w:tc>
        <w:tc>
          <w:tcPr/>
          <w:p>
            <w:pPr>
              <w:pStyle w:val="Compact"/>
            </w:pPr>
            <w:r>
              <w:t xml:space="preserve">24.6x</w:t>
            </w:r>
          </w:p>
        </w:tc>
      </w:tr>
      <w:tr>
        <w:tc>
          <w:tcPr/>
          <w:p>
            <w:pPr>
              <w:pStyle w:val="Compact"/>
            </w:pPr>
            <w:r>
              <w:t xml:space="preserve">8Q</w:t>
            </w:r>
          </w:p>
        </w:tc>
        <w:tc>
          <w:tcPr/>
          <w:p>
            <w:pPr>
              <w:pStyle w:val="Compact"/>
            </w:pPr>
            <w:r>
              <w:t xml:space="preserve">20.6x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18.8%</w:t>
            </w:r>
          </w:p>
        </w:tc>
        <w:tc>
          <w:tcPr/>
          <w:p>
            <w:pPr>
              <w:pStyle w:val="Compact"/>
            </w:pPr>
            <w:r>
              <w:t xml:space="preserve">24.0%</w:t>
            </w:r>
          </w:p>
        </w:tc>
        <w:tc>
          <w:tcPr/>
          <w:p>
            <w:pPr>
              <w:pStyle w:val="Compact"/>
            </w:pPr>
            <w:r>
              <w:t xml:space="preserve">12.3%</w:t>
            </w:r>
          </w:p>
        </w:tc>
        <w:tc>
          <w:tcPr/>
          <w:p>
            <w:pPr>
              <w:pStyle w:val="Compact"/>
            </w:pPr>
            <w:r>
              <w:t xml:space="preserve">2.5%</w:t>
            </w:r>
          </w:p>
        </w:tc>
        <w:tc>
          <w:tcPr/>
          <w:p>
            <w:pPr>
              <w:pStyle w:val="Compact"/>
            </w:pPr>
            <w:r>
              <w:t xml:space="preserve">25.0%</w:t>
            </w:r>
          </w:p>
        </w:tc>
        <w:tc>
          <w:tcPr/>
          <w:p>
            <w:pPr>
              <w:pStyle w:val="Compact"/>
            </w:pPr>
            <w:r>
              <w:t xml:space="preserve">$138.45</w:t>
            </w:r>
          </w:p>
        </w:tc>
        <w:tc>
          <w:tcPr/>
          <w:p>
            <w:pPr>
              <w:pStyle w:val="Compact"/>
            </w:pPr>
            <w:r>
              <w:t xml:space="preserve">-66.4%</w:t>
            </w:r>
          </w:p>
        </w:tc>
      </w:tr>
      <w:tr>
        <w:tc>
          <w:tcPr/>
          <w:p>
            <w:pPr>
              <w:pStyle w:val="Compact"/>
            </w:pPr>
            <w:r>
              <w:t xml:space="preserve">Base</w:t>
            </w:r>
          </w:p>
        </w:tc>
        <w:tc>
          <w:tcPr/>
          <w:p>
            <w:pPr>
              <w:pStyle w:val="Compact"/>
            </w:pPr>
            <w:r>
              <w:t xml:space="preserve">37.5%</w:t>
            </w:r>
          </w:p>
        </w:tc>
        <w:tc>
          <w:tcPr/>
          <w:p>
            <w:pPr>
              <w:pStyle w:val="Compact"/>
            </w:pPr>
            <w:r>
              <w:t xml:space="preserve">30.0%</w:t>
            </w:r>
          </w:p>
        </w:tc>
        <w:tc>
          <w:tcPr/>
          <w:p>
            <w:pPr>
              <w:pStyle w:val="Compact"/>
            </w:pPr>
            <w:r>
              <w:t xml:space="preserve">11.3%</w:t>
            </w:r>
          </w:p>
        </w:tc>
        <w:tc>
          <w:tcPr/>
          <w:p>
            <w:pPr>
              <w:pStyle w:val="Compact"/>
            </w:pPr>
            <w:r>
              <w:t xml:space="preserve">3.0%</w:t>
            </w:r>
          </w:p>
        </w:tc>
        <w:tc>
          <w:tcPr/>
          <w:p>
            <w:pPr>
              <w:pStyle w:val="Compact"/>
            </w:pPr>
            <w:r>
              <w:t xml:space="preserve">50.0%</w:t>
            </w:r>
          </w:p>
        </w:tc>
        <w:tc>
          <w:tcPr/>
          <w:p>
            <w:pPr>
              <w:pStyle w:val="Compact"/>
            </w:pPr>
            <w:r>
              <w:t xml:space="preserve">$372.81</w:t>
            </w:r>
          </w:p>
        </w:tc>
        <w:tc>
          <w:tcPr/>
          <w:p>
            <w:pPr>
              <w:pStyle w:val="Compact"/>
            </w:pPr>
            <w:r>
              <w:t xml:space="preserve">-9.6%</w:t>
            </w:r>
          </w:p>
        </w:tc>
      </w:tr>
      <w:tr>
        <w:tc>
          <w:tcPr/>
          <w:p>
            <w:pPr>
              <w:pStyle w:val="Compact"/>
            </w:pPr>
            <w:r>
              <w:t xml:space="preserve">Bull</w:t>
            </w:r>
          </w:p>
        </w:tc>
        <w:tc>
          <w:tcPr/>
          <w:p>
            <w:pPr>
              <w:pStyle w:val="Compact"/>
            </w:pPr>
            <w:r>
              <w:t xml:space="preserve">48.8%</w:t>
            </w:r>
          </w:p>
        </w:tc>
        <w:tc>
          <w:tcPr/>
          <w:p>
            <w:pPr>
              <w:pStyle w:val="Compact"/>
            </w:pPr>
            <w:r>
              <w:t xml:space="preserve">34.5%</w:t>
            </w:r>
          </w:p>
        </w:tc>
        <w:tc>
          <w:tcPr/>
          <w:p>
            <w:pPr>
              <w:pStyle w:val="Compact"/>
            </w:pPr>
            <w:r>
              <w:t xml:space="preserve">10.8%</w:t>
            </w:r>
          </w:p>
        </w:tc>
        <w:tc>
          <w:tcPr/>
          <w:p>
            <w:pPr>
              <w:pStyle w:val="Compact"/>
            </w:pPr>
            <w:r>
              <w:t xml:space="preserve">3.5%</w:t>
            </w:r>
          </w:p>
        </w:tc>
        <w:tc>
          <w:tcPr/>
          <w:p>
            <w:pPr>
              <w:pStyle w:val="Compact"/>
            </w:pPr>
            <w:r>
              <w:t xml:space="preserve">25.0%</w:t>
            </w:r>
          </w:p>
        </w:tc>
        <w:tc>
          <w:tcPr/>
          <w:p>
            <w:pPr>
              <w:pStyle w:val="Compact"/>
            </w:pPr>
            <w:r>
              <w:t xml:space="preserve">$710.82</w:t>
            </w:r>
          </w:p>
        </w:tc>
        <w:tc>
          <w:tcPr/>
          <w:p>
            <w:pPr>
              <w:pStyle w:val="Compact"/>
            </w:pPr>
            <w:r>
              <w:t xml:space="preserve">72.3%</w:t>
            </w:r>
          </w:p>
        </w:tc>
      </w:tr>
    </w:tbl>
    <w:p>
      <w:pPr>
        <w:pStyle w:val="BodyText"/>
      </w:pPr>
      <w:r>
        <w:rPr>
          <w:rFonts w:hint="eastAsia"/>
        </w:rPr>
        <w:t xml:space="preserve">概率加权价值</w:t>
      </w:r>
      <w:r>
        <w:t xml:space="preserve"> </w:t>
      </w:r>
      <w:r>
        <w:rPr>
          <w:b/>
          <w:bCs/>
        </w:rPr>
        <w:t xml:space="preserve">$398.72</w:t>
      </w:r>
      <w:r>
        <w:rPr>
          <w:rFonts w:hint="eastAsia"/>
        </w:rPr>
        <w:t xml:space="preserve">（相对现价</w:t>
      </w:r>
      <w:r>
        <w:t xml:space="preserve"> </w:t>
      </w:r>
      <w:r>
        <w:rPr>
          <w:rFonts w:hint="eastAsia"/>
        </w:rPr>
        <w:t xml:space="preserve">-3.4%）。</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60,251.6 bn </w:t>
      </w:r>
      <w:r>
        <w:rPr>
          <w:rFonts w:hint="eastAsia"/>
        </w:rPr>
        <w:t xml:space="preserve">TWD；终值占比</w:t>
      </w:r>
      <w:r>
        <w:t xml:space="preserve"> 57.1%。</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40.5%</w:t>
      </w:r>
      <w:r>
        <w:rPr>
          <w:rFonts w:hint="eastAsia"/>
        </w:rPr>
        <w:t xml:space="preserve">；一致预期FY+1增速</w:t>
      </w:r>
      <w:r>
        <w:t xml:space="preserve"> 37.5%。</w:t>
      </w:r>
    </w:p>
    <w:p>
      <w:pPr>
        <w:numPr>
          <w:ilvl w:val="0"/>
          <w:numId w:val="1005"/>
        </w:numPr>
      </w:pPr>
      <w:r>
        <w:t xml:space="preserve">WACC (CAPM) = rf 5.1% + β 1.24 × ERP 5.0% = 11.3%。</w:t>
      </w:r>
    </w:p>
    <w:p>
      <w:pPr>
        <w:numPr>
          <w:ilvl w:val="0"/>
          <w:numId w:val="1005"/>
        </w:numPr>
      </w:pPr>
      <w:r>
        <w:t xml:space="preserve">SOTP segments </w:t>
      </w:r>
      <w:r>
        <w:rPr>
          <w:rFonts w:hint="eastAsia"/>
        </w:rPr>
        <w:t xml:space="preserve">分部:</w:t>
      </w:r>
      <w:r>
        <w:t xml:space="preserve"> HPC/AI </w:t>
      </w:r>
      <w:r>
        <w:rPr>
          <w:rFonts w:hint="eastAsia"/>
        </w:rPr>
        <w:t xml:space="preserve">高性能计算;</w:t>
      </w:r>
      <w:r>
        <w:t xml:space="preserve"> Smartphone </w:t>
      </w:r>
      <w:r>
        <w:rPr>
          <w:rFonts w:hint="eastAsia"/>
        </w:rPr>
        <w:t xml:space="preserve">智能手机;</w:t>
      </w:r>
      <w:r>
        <w:t xml:space="preserve"> IoT/Auto/DCE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TSM | 2,140.0 bn USD | 3.5x | 17.9x | 36.0% | 64.2% | 1.6% |</w:t>
      </w:r>
      <w:r>
        <w:t xml:space="preserve"> </w:t>
      </w:r>
      <w:r>
        <w:t xml:space="preserve">| INTC | 475.0 bn USD | 8.6x | 42.7x | 25.4% | 38.9% | 1.0% |</w:t>
      </w:r>
      <w:r>
        <w:t xml:space="preserve"> </w:t>
      </w:r>
      <w:r>
        <w:t xml:space="preserve">| 005930.KS | 1,403,319.4 bn USD | 2.6x | 3.0x | 130.0% | 57.5% | 5.0% |</w:t>
      </w:r>
      <w:r>
        <w:t xml:space="preserve"> </w:t>
      </w:r>
      <w:r>
        <w:t xml:space="preserve">| UMC | 49.7 bn USD | -0.1x | 22.6x | 17.0% | 30.6% | 74.2% |</w:t>
      </w:r>
      <w:r>
        <w:t xml:space="preserve"> </w:t>
      </w:r>
      <w:r>
        <w:t xml:space="preserve">| GFS | 26.0 bn USD | 3.6x | 17.8x | 5.8% | 27.1% | 2.9%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Geopolitical shock, US tariffs on chips, Intel/Samsung regain </w:t>
      </w:r>
      <w:r>
        <w:rPr>
          <w:rFonts w:hint="eastAsia"/>
        </w:rPr>
        <w:t xml:space="preserve">share｜地缘冲击、美国芯片关税、英特尔/三星夺回份额</w:t>
      </w:r>
    </w:p>
    <w:p>
      <w:pPr>
        <w:pStyle w:val="Compact"/>
        <w:numPr>
          <w:ilvl w:val="0"/>
          <w:numId w:val="1006"/>
        </w:numPr>
      </w:pPr>
      <w:r>
        <w:rPr>
          <w:rFonts w:hint="eastAsia"/>
        </w:rPr>
        <w:t xml:space="preserve">证伪指标:</w:t>
      </w:r>
      <w:r>
        <w:t xml:space="preserve"> GM falls below long-term target band; monthly revenue y/y decelerates sharply; capex </w:t>
      </w:r>
      <w:r>
        <w:rPr>
          <w:rFonts w:hint="eastAsia"/>
        </w:rPr>
        <w:t xml:space="preserve">cut｜毛利率跌破长期目标区间；月营收同比骤降；Capex下修</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412.6</w:t>
            </w:r>
          </w:p>
        </w:tc>
        <w:tc>
          <w:tcPr/>
          <w:p>
            <w:pPr>
              <w:pStyle w:val="Compact"/>
            </w:pPr>
            <w:r>
              <w:t xml:space="preserve">Yahoo Finance quote, fetched 2026-10-17T07:55 SGT</w:t>
            </w:r>
          </w:p>
        </w:tc>
      </w:tr>
      <w:tr>
        <w:tc>
          <w:tcPr/>
          <w:p>
            <w:pPr>
              <w:pStyle w:val="Compact"/>
            </w:pPr>
            <w:r>
              <w:t xml:space="preserve">Market cap </w:t>
            </w:r>
            <w:r>
              <w:rPr>
                <w:rFonts w:hint="eastAsia"/>
              </w:rPr>
              <w:t xml:space="preserve">市值</w:t>
            </w:r>
          </w:p>
        </w:tc>
        <w:tc>
          <w:tcPr/>
          <w:p>
            <w:pPr>
              <w:pStyle w:val="Compact"/>
            </w:pPr>
            <w:r>
              <w:t xml:space="preserve">2.14e+12</w:t>
            </w:r>
          </w:p>
        </w:tc>
        <w:tc>
          <w:tcPr/>
          <w:p>
            <w:pPr>
              <w:pStyle w:val="Compact"/>
            </w:pPr>
            <w:r>
              <w:t xml:space="preserve">Yahoo info.marketCap 2026-10-17T07:55</w:t>
            </w:r>
          </w:p>
        </w:tc>
      </w:tr>
      <w:tr>
        <w:tc>
          <w:tcPr/>
          <w:p>
            <w:pPr>
              <w:pStyle w:val="Compact"/>
            </w:pPr>
            <w:r>
              <w:t xml:space="preserve">Cash </w:t>
            </w:r>
            <w:r>
              <w:rPr>
                <w:rFonts w:hint="eastAsia"/>
              </w:rPr>
              <w:t xml:space="preserve">现金</w:t>
            </w:r>
          </w:p>
        </w:tc>
        <w:tc>
          <w:tcPr/>
          <w:p>
            <w:pPr>
              <w:pStyle w:val="Compact"/>
            </w:pPr>
            <w:r>
              <w:t xml:space="preserve">3.518e+12</w:t>
            </w:r>
          </w:p>
        </w:tc>
        <w:tc>
          <w:tcPr/>
          <w:p>
            <w:pPr>
              <w:pStyle w:val="Compact"/>
            </w:pPr>
            <w:r>
              <w:t xml:space="preserve">Yahoo info.totalCash (latest filing) 2026-10-17T07:55</w:t>
            </w:r>
          </w:p>
        </w:tc>
      </w:tr>
      <w:tr>
        <w:tc>
          <w:tcPr/>
          <w:p>
            <w:pPr>
              <w:pStyle w:val="Compact"/>
            </w:pPr>
            <w:r>
              <w:t xml:space="preserve">Debt </w:t>
            </w:r>
            <w:r>
              <w:rPr>
                <w:rFonts w:hint="eastAsia"/>
              </w:rPr>
              <w:t xml:space="preserve">负债</w:t>
            </w:r>
          </w:p>
        </w:tc>
        <w:tc>
          <w:tcPr/>
          <w:p>
            <w:pPr>
              <w:pStyle w:val="Compact"/>
            </w:pPr>
            <w:r>
              <w:t xml:space="preserve">1.069e+12</w:t>
            </w:r>
          </w:p>
        </w:tc>
        <w:tc>
          <w:tcPr/>
          <w:p>
            <w:pPr>
              <w:pStyle w:val="Compact"/>
            </w:pPr>
            <w:r>
              <w:t xml:space="preserve">Yahoo info.totalDebt (latest filing) 2026-10-17T07:55</w:t>
            </w:r>
          </w:p>
        </w:tc>
      </w:tr>
      <w:tr>
        <w:tc>
          <w:tcPr/>
          <w:p>
            <w:pPr>
              <w:pStyle w:val="Compact"/>
            </w:pPr>
            <w:r>
              <w:t xml:space="preserve">Revenue TTM </w:t>
            </w:r>
            <w:r>
              <w:rPr>
                <w:rFonts w:hint="eastAsia"/>
              </w:rPr>
              <w:t xml:space="preserve">收入</w:t>
            </w:r>
          </w:p>
        </w:tc>
        <w:tc>
          <w:tcPr/>
          <w:p>
            <w:pPr>
              <w:pStyle w:val="Compact"/>
            </w:pPr>
            <w:r>
              <w:t xml:space="preserve">4.44e+12</w:t>
            </w:r>
          </w:p>
        </w:tc>
        <w:tc>
          <w:tcPr/>
          <w:p>
            <w:pPr>
              <w:pStyle w:val="Compact"/>
            </w:pPr>
            <w:r>
              <w:t xml:space="preserve">Yahoo info.totalRevenue (TTM, TWD) 2026-10-17T07:55</w:t>
            </w:r>
          </w:p>
        </w:tc>
      </w:tr>
      <w:tr>
        <w:tc>
          <w:tcPr/>
          <w:p>
            <w:pPr>
              <w:pStyle w:val="Compact"/>
            </w:pPr>
            <w:r>
              <w:t xml:space="preserve">FCF TTM </w:t>
            </w:r>
            <w:r>
              <w:rPr>
                <w:rFonts w:hint="eastAsia"/>
              </w:rPr>
              <w:t xml:space="preserve">自由现金流</w:t>
            </w:r>
          </w:p>
        </w:tc>
        <w:tc>
          <w:tcPr/>
          <w:p>
            <w:pPr>
              <w:pStyle w:val="Compact"/>
            </w:pPr>
            <w:r>
              <w:t xml:space="preserve">1.125e+12</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(TWD)</w:t>
            </w:r>
          </w:p>
        </w:tc>
      </w:tr>
      <w:tr>
        <w:tc>
          <w:tcPr/>
          <w:p>
            <w:pPr>
              <w:pStyle w:val="Compact"/>
            </w:pPr>
            <w:r>
              <w:t xml:space="preserve">Beta</w:t>
            </w:r>
          </w:p>
        </w:tc>
        <w:tc>
          <w:tcPr/>
          <w:p>
            <w:pPr>
              <w:pStyle w:val="Compact"/>
            </w:pPr>
            <w:r>
              <w:t xml:space="preserve">1.239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w:t>
            </w:r>
          </w:p>
        </w:tc>
        <w:tc>
          <w:tcPr/>
          <w:p>
            <w:pPr>
              <w:pStyle w:val="Compact"/>
            </w:pPr>
            <w:r>
              <w:t xml:space="preserve">FRED DGS10 2026-10-15</w:t>
            </w:r>
          </w:p>
        </w:tc>
      </w:tr>
      <w:tr>
        <w:tc>
          <w:tcPr/>
          <w:p>
            <w:pPr>
              <w:pStyle w:val="Compact"/>
            </w:pPr>
            <w:r>
              <w:t xml:space="preserve">FX USD per TWD</w:t>
            </w:r>
          </w:p>
        </w:tc>
        <w:tc>
          <w:tcPr/>
          <w:p>
            <w:pPr>
              <w:pStyle w:val="Compact"/>
            </w:pPr>
            <w:r>
              <w:t xml:space="preserve">0.03084</w:t>
            </w:r>
          </w:p>
        </w:tc>
        <w:tc>
          <w:tcPr/>
          <w:p>
            <w:pPr>
              <w:pStyle w:val="Compact"/>
            </w:pPr>
            <w:r>
              <w:t xml:space="preserve">Yahoo FX quote</w:t>
            </w:r>
          </w:p>
        </w:tc>
      </w:tr>
      <w:tr>
        <w:tc>
          <w:tcPr/>
          <w:p>
            <w:pPr>
              <w:pStyle w:val="Compact"/>
            </w:pPr>
            <w:r>
              <w:t xml:space="preserve">Consensus rev growth FY0</w:t>
            </w:r>
          </w:p>
        </w:tc>
        <w:tc>
          <w:tcPr/>
          <w:p>
            <w:pPr>
              <w:pStyle w:val="Compact"/>
            </w:pPr>
            <w:r>
              <w:t xml:space="preserve">0.4601</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0.3751</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1.24</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0.3751</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0.2533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TSM_model_v20261017-0755.xlsx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data/snapshots/20261017-0755</w:t>
      </w:r>
      <w:r>
        <w:t xml:space="preserve"> </w:t>
      </w:r>
      <w:r>
        <w:t xml:space="preserve">(immutable) | Fetched 2026-10-17 07:55 SGT | Generated 2026-10-17 07:56 SGT</w:t>
      </w:r>
    </w:p>
    <w:p>
      <w:pPr>
        <w:pStyle w:val="Compact"/>
        <w:numPr>
          <w:ilvl w:val="0"/>
          <w:numId w:val="1007"/>
        </w:numPr>
      </w:pPr>
      <w:r>
        <w:t xml:space="preserve">Version: v20261017-0755.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v20261017-0755: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2027-01-14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TSM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TSM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TSM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TSM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TSM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6cb2d4811f35ec0e4ce49e69d5c61f7b610a9ad"/>
    <w:p>
      <w:pPr>
        <w:pStyle w:val="Heading1"/>
      </w:pPr>
      <w:r>
        <w:t xml:space="preserve">TSM Taiwan Semiconductor Manufacturing Company Limited — Equity Deep Dive (Professional English) v20261017-0755</w:t>
      </w:r>
    </w:p>
    <w:p>
      <w:pPr>
        <w:pStyle w:val="BlockText"/>
      </w:pPr>
      <w:r>
        <w:t xml:space="preserve">Data as of 2026-10-17 07:55 SGT | Price $412.61 | Mkt cap 2,140.0 bn USD | Reporting currency TWD | Not investment advice.</w:t>
      </w:r>
    </w:p>
    <w:bookmarkStart w:id="39" w:name="investment-thesis-hypothesis"/>
    <w:p>
      <w:pPr>
        <w:pStyle w:val="Heading2"/>
      </w:pPr>
      <w:r>
        <w:t xml:space="preserve">1. Investment thesis (HYPOTHESIS)</w:t>
      </w:r>
    </w:p>
    <w:p>
      <w:pPr>
        <w:pStyle w:val="FirstParagraph"/>
      </w:pPr>
      <w:r>
        <w:t xml:space="preserve">TSMC is the irreplaceable manufacturing bottleneck for AI chips with pricing power; key risks are geopolitics and overseas-fab margin dilution. Financials are reported in TWD.</w:t>
      </w:r>
    </w:p>
    <w:p>
      <w:pPr>
        <w:pStyle w:val="Compact"/>
        <w:numPr>
          <w:ilvl w:val="0"/>
          <w:numId w:val="1009"/>
        </w:numPr>
      </w:pPr>
      <w:r>
        <w:rPr>
          <w:b/>
          <w:bCs/>
        </w:rPr>
        <w:t xml:space="preserve">Bull drivers</w:t>
      </w:r>
      <w:r>
        <w:t xml:space="preserve">: N2 ramp + price increases; CoWoS doubling; AI accelerators &gt;30% </w:t>
      </w:r>
      <w:r>
        <w:rPr>
          <w:rFonts w:hint="eastAsia"/>
        </w:rPr>
        <w:t xml:space="preserve">revenue｜N2爬坡+涨价；CoWoS倍增；AI加速器占比超30%</w:t>
      </w:r>
    </w:p>
    <w:p>
      <w:pPr>
        <w:pStyle w:val="Compact"/>
        <w:numPr>
          <w:ilvl w:val="0"/>
          <w:numId w:val="1009"/>
        </w:numPr>
      </w:pPr>
      <w:r>
        <w:rPr>
          <w:b/>
          <w:bCs/>
        </w:rPr>
        <w:t xml:space="preserve">Bear drivers</w:t>
      </w:r>
      <w:r>
        <w:t xml:space="preserve">: Geopolitical shock, US tariffs on chips, Intel/Samsung regain </w:t>
      </w:r>
      <w:r>
        <w:rPr>
          <w:rFonts w:hint="eastAsia"/>
        </w:rPr>
        <w:t xml:space="preserve">share｜地缘冲击、美国芯片关税、英特尔/三星夺回份额</w:t>
      </w:r>
    </w:p>
    <w:p>
      <w:pPr>
        <w:pStyle w:val="Compact"/>
        <w:numPr>
          <w:ilvl w:val="0"/>
          <w:numId w:val="1009"/>
        </w:numPr>
      </w:pPr>
      <w:r>
        <w:rPr>
          <w:b/>
          <w:bCs/>
        </w:rPr>
        <w:t xml:space="preserve">Falsifiers</w:t>
      </w:r>
      <w:r>
        <w:t xml:space="preserve">: GM falls below long-term target band; monthly revenue y/y decelerates sharply; capex </w:t>
      </w:r>
      <w:r>
        <w:rPr>
          <w:rFonts w:hint="eastAsia"/>
        </w:rPr>
        <w:t xml:space="preserve">cut｜毛利率跌破长期目标区间；月营收同比骤降；Capex下修</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Foundry / Advanced packaging </w:t>
      </w:r>
      <w:r>
        <w:rPr>
          <w:rFonts w:hint="eastAsia"/>
        </w:rPr>
        <w:t xml:space="preserve">晶圆代工/先进封装</w:t>
      </w:r>
      <w:r>
        <w:t xml:space="preserve"> | Segments: HPC/AI </w:t>
      </w:r>
      <w:r>
        <w:rPr>
          <w:rFonts w:hint="eastAsia"/>
        </w:rPr>
        <w:t xml:space="preserve">高性能计算;</w:t>
      </w:r>
      <w:r>
        <w:t xml:space="preserve"> Smartphone </w:t>
      </w:r>
      <w:r>
        <w:rPr>
          <w:rFonts w:hint="eastAsia"/>
        </w:rPr>
        <w:t xml:space="preserve">智能手机;</w:t>
      </w:r>
      <w:r>
        <w:t xml:space="preserve"> IoT/Auto/DCE </w:t>
      </w:r>
      <w:r>
        <w:rPr>
          <w:rFonts w:hint="eastAsia"/>
        </w:rPr>
        <w:t xml:space="preserve">其他</w:t>
      </w:r>
    </w:p>
    <w:p>
      <w:pPr>
        <w:pStyle w:val="Compact"/>
        <w:numPr>
          <w:ilvl w:val="0"/>
          <w:numId w:val="1010"/>
        </w:numPr>
      </w:pPr>
      <w:r>
        <w:t xml:space="preserve">Business description (DATA): Taiwan Semiconductor Manufacturing Company Limited, together with its subsidiaries, manufactures, packages, tests, and sells integrated circuits and other semiconductor devices in Taiwan, China, Europe, the Middle East, Africa, Japan, the United States, and internationally. It provides various wafer fabrication processes, such as processes to manufacture complementary metal- oxide-semiconductor (CMOS) logic, mixed-signal, radio frequency, embedded memory, bipolar CMOS mixed-signal, and others. The company also involved in providing customer and engineering support services; manufacturing of masks; investment in technology start-up companies; research, designing, developing, manufacturing, packaging, testing, and sale of color filters; and investment activities. Its products are used in high performance computing, smartphones, Internet of things, automotive, and digital consumer electroni</w:t>
      </w:r>
    </w:p>
    <w:p>
      <w:pPr>
        <w:pStyle w:val="Compact"/>
        <w:numPr>
          <w:ilvl w:val="0"/>
          <w:numId w:val="1010"/>
        </w:numPr>
      </w:pPr>
      <w:r>
        <w:t xml:space="preserve">Customers: NVDA, Apple, AMD, Broadcom, Qualcomm, MediaTek, Marvell, hyperscaler </w:t>
      </w:r>
      <w:r>
        <w:rPr>
          <w:rFonts w:hint="eastAsia"/>
        </w:rPr>
        <w:t xml:space="preserve">ASICs｜NVDA、苹果、AMD、博通、高通、联发科、Marvell、云厂ASIC</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ASML (EUV), AMAT/LRCX/TEL/KLAC, Shin-Etsu/SUMCO (wafers), </w:t>
      </w:r>
      <w:r>
        <w:rPr>
          <w:rFonts w:hint="eastAsia"/>
        </w:rPr>
        <w:t xml:space="preserve">chemicals｜ASML、设备商、硅片、化学品</w:t>
      </w:r>
    </w:p>
    <w:p>
      <w:pPr>
        <w:pStyle w:val="Compact"/>
        <w:numPr>
          <w:ilvl w:val="0"/>
          <w:numId w:val="1011"/>
        </w:numPr>
      </w:pPr>
      <w:r>
        <w:t xml:space="preserve">Competitors: Samsung Foundry, Intel Foundry (18A/14A), </w:t>
      </w:r>
      <w:r>
        <w:rPr>
          <w:rFonts w:hint="eastAsia"/>
        </w:rPr>
        <w:t xml:space="preserve">SMIC｜三星代工、英特尔代工、中芯国际</w:t>
      </w:r>
    </w:p>
    <w:p>
      <w:pPr>
        <w:pStyle w:val="Compact"/>
        <w:numPr>
          <w:ilvl w:val="0"/>
          <w:numId w:val="1011"/>
        </w:numPr>
      </w:pPr>
      <w:r>
        <w:t xml:space="preserve">Bottlenecks/regulation: CoWoS/SoIC capacity, N2/A16 ramp, overseas fab cost (Arizona/Japan), Taiwan geopolitics, </w:t>
      </w:r>
      <w:r>
        <w:rPr>
          <w:rFonts w:hint="eastAsia"/>
        </w:rPr>
        <w:t xml:space="preserve">power/water｜CoWoS/SoIC产能、N2/A16爬坡、海外厂成本、台海地缘、电力水资源</w:t>
      </w:r>
    </w:p>
    <w:p>
      <w:pPr>
        <w:pStyle w:val="Compact"/>
        <w:numPr>
          <w:ilvl w:val="0"/>
          <w:numId w:val="1011"/>
        </w:numPr>
      </w:pPr>
      <w:r>
        <w:t xml:space="preserve">KPIs: Monthly revenue, GM%, HPC mix, N3/N2 mix, capex, CoWoS </w:t>
      </w:r>
      <w:r>
        <w:rPr>
          <w:rFonts w:hint="eastAsia"/>
        </w:rPr>
        <w:t xml:space="preserve">capacity｜月营收、毛利率、HPC占比、先进制程占比、Capex、CoWoS产能</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9a8919ad70089875b5f5580c09e75f54debf541"/>
    <w:p>
      <w:pPr>
        <w:pStyle w:val="Heading2"/>
      </w:pPr>
      <w:r>
        <w:t xml:space="preserve">4. Historical financials &amp; cash flow (CONFIRMED, quarterly, TWD)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1,270.4 bn TWD</w:t>
            </w:r>
          </w:p>
        </w:tc>
        <w:tc>
          <w:tcPr/>
          <w:p>
            <w:pPr>
              <w:pStyle w:val="Compact"/>
            </w:pPr>
            <w:r>
              <w:t xml:space="preserve">860.3 bn TWD</w:t>
            </w:r>
          </w:p>
        </w:tc>
        <w:tc>
          <w:tcPr/>
          <w:p>
            <w:pPr>
              <w:pStyle w:val="Compact"/>
            </w:pPr>
            <w:r>
              <w:t xml:space="preserve">766.6 bn TWD</w:t>
            </w:r>
          </w:p>
        </w:tc>
        <w:tc>
          <w:tcPr/>
          <w:p>
            <w:pPr>
              <w:pStyle w:val="Compact"/>
            </w:pPr>
            <w:r>
              <w:t xml:space="preserve">706.6 bn TWD</w:t>
            </w:r>
          </w:p>
        </w:tc>
        <w:tc>
          <w:tcPr/>
          <w:p>
            <w:pPr>
              <w:pStyle w:val="Compact"/>
            </w:pPr>
            <w:r>
              <w:t xml:space="preserve">275.0 bn TWD</w:t>
            </w:r>
          </w:p>
        </w:tc>
        <w:tc>
          <w:tcPr/>
          <w:p>
            <w:pPr>
              <w:pStyle w:val="Compact"/>
            </w:pPr>
            <w:r>
              <w:t xml:space="preserve">60.3%</w:t>
            </w:r>
          </w:p>
        </w:tc>
      </w:tr>
      <w:tr>
        <w:tc>
          <w:tcPr/>
          <w:p>
            <w:pPr>
              <w:pStyle w:val="Compact"/>
            </w:pPr>
            <w:r>
              <w:t xml:space="preserve">2026-03-31</w:t>
            </w:r>
          </w:p>
        </w:tc>
        <w:tc>
          <w:tcPr/>
          <w:p>
            <w:pPr>
              <w:pStyle w:val="Compact"/>
            </w:pPr>
            <w:r>
              <w:t xml:space="preserve">1,134.1 bn TWD</w:t>
            </w:r>
          </w:p>
        </w:tc>
        <w:tc>
          <w:tcPr/>
          <w:p>
            <w:pPr>
              <w:pStyle w:val="Compact"/>
            </w:pPr>
            <w:r>
              <w:t xml:space="preserve">751.3 bn TWD</w:t>
            </w:r>
          </w:p>
        </w:tc>
        <w:tc>
          <w:tcPr/>
          <w:p>
            <w:pPr>
              <w:pStyle w:val="Compact"/>
            </w:pPr>
            <w:r>
              <w:t xml:space="preserve">658.9 bn TWD</w:t>
            </w:r>
          </w:p>
        </w:tc>
        <w:tc>
          <w:tcPr/>
          <w:p>
            <w:pPr>
              <w:pStyle w:val="Compact"/>
            </w:pPr>
            <w:r>
              <w:t xml:space="preserve">572.5 bn TWD</w:t>
            </w:r>
          </w:p>
        </w:tc>
        <w:tc>
          <w:tcPr/>
          <w:p>
            <w:pPr>
              <w:pStyle w:val="Compact"/>
            </w:pPr>
            <w:r>
              <w:t xml:space="preserve">347.3 bn TWD</w:t>
            </w:r>
          </w:p>
        </w:tc>
        <w:tc>
          <w:tcPr/>
          <w:p>
            <w:pPr>
              <w:pStyle w:val="Compact"/>
            </w:pPr>
            <w:r>
              <w:t xml:space="preserve">58.1%</w:t>
            </w:r>
          </w:p>
        </w:tc>
      </w:tr>
      <w:tr>
        <w:tc>
          <w:tcPr/>
          <w:p>
            <w:pPr>
              <w:pStyle w:val="Compact"/>
            </w:pPr>
            <w:r>
              <w:t xml:space="preserve">2025-12-31</w:t>
            </w:r>
          </w:p>
        </w:tc>
        <w:tc>
          <w:tcPr/>
          <w:p>
            <w:pPr>
              <w:pStyle w:val="Compact"/>
            </w:pPr>
            <w:r>
              <w:t xml:space="preserve">1,046.1 bn TWD</w:t>
            </w:r>
          </w:p>
        </w:tc>
        <w:tc>
          <w:tcPr/>
          <w:p>
            <w:pPr>
              <w:pStyle w:val="Compact"/>
            </w:pPr>
            <w:r>
              <w:t xml:space="preserve">652.0 bn TWD</w:t>
            </w:r>
          </w:p>
        </w:tc>
        <w:tc>
          <w:tcPr/>
          <w:p>
            <w:pPr>
              <w:pStyle w:val="Compact"/>
            </w:pPr>
            <w:r>
              <w:t xml:space="preserve">564.9 bn TWD</w:t>
            </w:r>
          </w:p>
        </w:tc>
        <w:tc>
          <w:tcPr/>
          <w:p>
            <w:pPr>
              <w:pStyle w:val="Compact"/>
            </w:pPr>
            <w:r>
              <w:t xml:space="preserve">485.5 bn TWD</w:t>
            </w:r>
          </w:p>
        </w:tc>
        <w:tc>
          <w:tcPr/>
          <w:p>
            <w:pPr>
              <w:pStyle w:val="Compact"/>
            </w:pPr>
            <w:r>
              <w:t xml:space="preserve">364.0 bn TWD</w:t>
            </w:r>
          </w:p>
        </w:tc>
        <w:tc>
          <w:tcPr/>
          <w:p>
            <w:pPr>
              <w:pStyle w:val="Compact"/>
            </w:pPr>
            <w:r>
              <w:t xml:space="preserve">54.0%</w:t>
            </w:r>
          </w:p>
        </w:tc>
      </w:tr>
      <w:tr>
        <w:tc>
          <w:tcPr/>
          <w:p>
            <w:pPr>
              <w:pStyle w:val="Compact"/>
            </w:pPr>
            <w:r>
              <w:t xml:space="preserve">2025-09-30</w:t>
            </w:r>
          </w:p>
        </w:tc>
        <w:tc>
          <w:tcPr/>
          <w:p>
            <w:pPr>
              <w:pStyle w:val="Compact"/>
            </w:pPr>
            <w:r>
              <w:t xml:space="preserve">989.9 bn TWD</w:t>
            </w:r>
          </w:p>
        </w:tc>
        <w:tc>
          <w:tcPr/>
          <w:p>
            <w:pPr>
              <w:pStyle w:val="Compact"/>
            </w:pPr>
            <w:r>
              <w:t xml:space="preserve">588.5 bn TWD</w:t>
            </w:r>
          </w:p>
        </w:tc>
        <w:tc>
          <w:tcPr/>
          <w:p>
            <w:pPr>
              <w:pStyle w:val="Compact"/>
            </w:pPr>
            <w:r>
              <w:t xml:space="preserve">500.7 bn TWD</w:t>
            </w:r>
          </w:p>
        </w:tc>
        <w:tc>
          <w:tcPr/>
          <w:p>
            <w:pPr>
              <w:pStyle w:val="Compact"/>
            </w:pPr>
            <w:r>
              <w:t xml:space="preserve">452.3 bn TWD</w:t>
            </w:r>
          </w:p>
        </w:tc>
        <w:tc>
          <w:tcPr/>
          <w:p>
            <w:pPr>
              <w:pStyle w:val="Compact"/>
            </w:pPr>
            <w:r>
              <w:t xml:space="preserve">138.4 bn TWD</w:t>
            </w:r>
          </w:p>
        </w:tc>
        <w:tc>
          <w:tcPr/>
          <w:p>
            <w:pPr>
              <w:pStyle w:val="Compact"/>
            </w:pPr>
            <w:r>
              <w:t xml:space="preserve">50.6%</w:t>
            </w:r>
          </w:p>
        </w:tc>
      </w:tr>
      <w:tr>
        <w:tc>
          <w:tcPr/>
          <w:p>
            <w:pPr>
              <w:pStyle w:val="Compact"/>
            </w:pPr>
            <w:r>
              <w:t xml:space="preserve">2025-06-30</w:t>
            </w:r>
          </w:p>
        </w:tc>
        <w:tc>
          <w:tcPr/>
          <w:p>
            <w:pPr>
              <w:pStyle w:val="Compact"/>
            </w:pPr>
            <w:r>
              <w:t xml:space="preserve">933.8 bn TWD</w:t>
            </w:r>
          </w:p>
        </w:tc>
        <w:tc>
          <w:tcPr/>
          <w:p>
            <w:pPr>
              <w:pStyle w:val="Compact"/>
            </w:pPr>
            <w:r>
              <w:t xml:space="preserve">547.4 bn TWD</w:t>
            </w:r>
          </w:p>
        </w:tc>
        <w:tc>
          <w:tcPr/>
          <w:p>
            <w:pPr>
              <w:pStyle w:val="Compact"/>
            </w:pPr>
            <w:r>
              <w:t xml:space="preserve">463.4 bn TWD</w:t>
            </w:r>
          </w:p>
        </w:tc>
        <w:tc>
          <w:tcPr/>
          <w:p>
            <w:pPr>
              <w:pStyle w:val="Compact"/>
            </w:pPr>
            <w:r>
              <w:t xml:space="preserve">398.3 bn TWD</w:t>
            </w:r>
          </w:p>
        </w:tc>
        <w:tc>
          <w:tcPr/>
          <w:p>
            <w:pPr>
              <w:pStyle w:val="Compact"/>
            </w:pPr>
            <w:r>
              <w:t xml:space="preserve">199.8 bn TWD</w:t>
            </w:r>
          </w:p>
        </w:tc>
        <w:tc>
          <w:tcPr/>
          <w:p>
            <w:pPr>
              <w:pStyle w:val="Compact"/>
            </w:pPr>
            <w:r>
              <w:t xml:space="preserve">49.6%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3,518.0 bn TWD; debt 1,068.6 bn TWD; TTM FCF 1,124.7 bn TWD (FCF margin 25.3%).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2025-12-31</w:t>
            </w:r>
          </w:p>
        </w:tc>
        <w:tc>
          <w:tcPr/>
          <w:p>
            <w:pPr>
              <w:pStyle w:val="Compact"/>
            </w:pPr>
            <w:r>
              <w:t xml:space="preserve">3.14</w:t>
            </w:r>
          </w:p>
        </w:tc>
        <w:tc>
          <w:tcPr/>
          <w:p>
            <w:pPr>
              <w:pStyle w:val="Compact"/>
            </w:pPr>
            <w:r>
              <w:t xml:space="preserve">2.97556</w:t>
            </w:r>
          </w:p>
        </w:tc>
        <w:tc>
          <w:tcPr/>
          <w:p>
            <w:pPr>
              <w:pStyle w:val="Compact"/>
            </w:pPr>
            <w:r>
              <w:t xml:space="preserve">0.0553</w:t>
            </w:r>
          </w:p>
        </w:tc>
      </w:tr>
      <w:tr>
        <w:tc>
          <w:tcPr/>
          <w:p>
            <w:pPr>
              <w:pStyle w:val="Compact"/>
            </w:pPr>
            <w:r>
              <w:t xml:space="preserve">2026-03-31</w:t>
            </w:r>
          </w:p>
        </w:tc>
        <w:tc>
          <w:tcPr/>
          <w:p>
            <w:pPr>
              <w:pStyle w:val="Compact"/>
            </w:pPr>
            <w:r>
              <w:t xml:space="preserve">3.49</w:t>
            </w:r>
          </w:p>
        </w:tc>
        <w:tc>
          <w:tcPr/>
          <w:p>
            <w:pPr>
              <w:pStyle w:val="Compact"/>
            </w:pPr>
            <w:r>
              <w:t xml:space="preserve">3.33393</w:t>
            </w:r>
          </w:p>
        </w:tc>
        <w:tc>
          <w:tcPr/>
          <w:p>
            <w:pPr>
              <w:pStyle w:val="Compact"/>
            </w:pPr>
            <w:r>
              <w:t xml:space="preserve">0.0468</w:t>
            </w:r>
          </w:p>
        </w:tc>
      </w:tr>
      <w:tr>
        <w:tc>
          <w:tcPr/>
          <w:p>
            <w:pPr>
              <w:pStyle w:val="Compact"/>
            </w:pPr>
            <w:r>
              <w:t xml:space="preserve">2026-06-30</w:t>
            </w:r>
          </w:p>
        </w:tc>
        <w:tc>
          <w:tcPr/>
          <w:p>
            <w:pPr>
              <w:pStyle w:val="Compact"/>
            </w:pPr>
            <w:r>
              <w:t xml:space="preserve">4.31</w:t>
            </w:r>
          </w:p>
        </w:tc>
        <w:tc>
          <w:tcPr/>
          <w:p>
            <w:pPr>
              <w:pStyle w:val="Compact"/>
            </w:pPr>
            <w:r>
              <w:t xml:space="preserve">3.88658</w:t>
            </w:r>
          </w:p>
        </w:tc>
        <w:tc>
          <w:tcPr/>
          <w:p>
            <w:pPr>
              <w:pStyle w:val="Compact"/>
            </w:pPr>
            <w:r>
              <w:t xml:space="preserve">0.1089</w:t>
            </w:r>
          </w:p>
        </w:tc>
      </w:tr>
      <w:tr>
        <w:tc>
          <w:tcPr/>
          <w:p>
            <w:pPr>
              <w:pStyle w:val="Compact"/>
            </w:pPr>
            <w:r>
              <w:t xml:space="preserve">2026-09-30</w:t>
            </w:r>
          </w:p>
        </w:tc>
        <w:tc>
          <w:tcPr/>
          <w:p>
            <w:pPr>
              <w:pStyle w:val="Compact"/>
            </w:pPr>
            <w:r>
              <w:t xml:space="preserve">4.6</w:t>
            </w:r>
          </w:p>
        </w:tc>
        <w:tc>
          <w:tcPr/>
          <w:p>
            <w:pPr>
              <w:pStyle w:val="Compact"/>
            </w:pPr>
            <w:r>
              <w:t xml:space="preserve">4.52449</w:t>
            </w:r>
          </w:p>
        </w:tc>
        <w:tc>
          <w:tcPr/>
          <w:p>
            <w:pPr>
              <w:pStyle w:val="Compact"/>
            </w:pPr>
            <w:r>
              <w:t xml:space="preserve">0.0167</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2027-01-14</w:t>
      </w:r>
      <w:r>
        <w:t xml:space="preserve">; current-quarter EPS consensus 5.1641 (8 analysts); revenue consensus 1,705.2 bn TWD.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$134.31</w:t>
            </w:r>
          </w:p>
        </w:tc>
        <w:tc>
          <w:tcPr/>
          <w:p>
            <w:pPr>
              <w:pStyle w:val="Compact"/>
            </w:pPr>
            <w:r>
              <w:t xml:space="preserve">-67.4%</w:t>
            </w:r>
          </w:p>
        </w:tc>
      </w:tr>
      <w:tr>
        <w:tc>
          <w:tcPr/>
          <w:p>
            <w:pPr>
              <w:pStyle w:val="Compact"/>
            </w:pPr>
            <w:r>
              <w:t xml:space="preserve">2Q</w:t>
            </w:r>
          </w:p>
        </w:tc>
        <w:tc>
          <w:tcPr/>
          <w:p>
            <w:pPr>
              <w:pStyle w:val="Compact"/>
            </w:pPr>
            <w:r>
              <w:t xml:space="preserve">Base</w:t>
            </w:r>
          </w:p>
        </w:tc>
        <w:tc>
          <w:tcPr/>
          <w:p>
            <w:pPr>
              <w:pStyle w:val="Compact"/>
            </w:pPr>
            <w:r>
              <w:t xml:space="preserve">$283.47</w:t>
            </w:r>
          </w:p>
        </w:tc>
        <w:tc>
          <w:tcPr/>
          <w:p>
            <w:pPr>
              <w:pStyle w:val="Compact"/>
            </w:pPr>
            <w:r>
              <w:t xml:space="preserve">-31.3%</w:t>
            </w:r>
          </w:p>
        </w:tc>
      </w:tr>
      <w:tr>
        <w:tc>
          <w:tcPr/>
          <w:p>
            <w:pPr>
              <w:pStyle w:val="Compact"/>
            </w:pPr>
            <w:r>
              <w:t xml:space="preserve">2Q</w:t>
            </w:r>
          </w:p>
        </w:tc>
        <w:tc>
          <w:tcPr/>
          <w:p>
            <w:pPr>
              <w:pStyle w:val="Compact"/>
            </w:pPr>
            <w:r>
              <w:t xml:space="preserve">Bull</w:t>
            </w:r>
          </w:p>
        </w:tc>
        <w:tc>
          <w:tcPr/>
          <w:p>
            <w:pPr>
              <w:pStyle w:val="Compact"/>
            </w:pPr>
            <w:r>
              <w:t xml:space="preserve">$461.11</w:t>
            </w:r>
          </w:p>
        </w:tc>
        <w:tc>
          <w:tcPr/>
          <w:p>
            <w:pPr>
              <w:pStyle w:val="Compact"/>
            </w:pPr>
            <w:r>
              <w:t xml:space="preserve">11.8%</w:t>
            </w:r>
          </w:p>
        </w:tc>
      </w:tr>
      <w:tr>
        <w:tc>
          <w:tcPr/>
          <w:p>
            <w:pPr>
              <w:pStyle w:val="Compact"/>
            </w:pPr>
            <w:r>
              <w:t xml:space="preserve">4Q</w:t>
            </w:r>
          </w:p>
        </w:tc>
        <w:tc>
          <w:tcPr/>
          <w:p>
            <w:pPr>
              <w:pStyle w:val="Compact"/>
            </w:pPr>
            <w:r>
              <w:t xml:space="preserve">Bear</w:t>
            </w:r>
          </w:p>
        </w:tc>
        <w:tc>
          <w:tcPr/>
          <w:p>
            <w:pPr>
              <w:pStyle w:val="Compact"/>
            </w:pPr>
            <w:r>
              <w:t xml:space="preserve">$136.30</w:t>
            </w:r>
          </w:p>
        </w:tc>
        <w:tc>
          <w:tcPr/>
          <w:p>
            <w:pPr>
              <w:pStyle w:val="Compact"/>
            </w:pPr>
            <w:r>
              <w:t xml:space="preserve">-67.0%</w:t>
            </w:r>
          </w:p>
        </w:tc>
      </w:tr>
      <w:tr>
        <w:tc>
          <w:tcPr/>
          <w:p>
            <w:pPr>
              <w:pStyle w:val="Compact"/>
            </w:pPr>
            <w:r>
              <w:t xml:space="preserve">4Q</w:t>
            </w:r>
          </w:p>
        </w:tc>
        <w:tc>
          <w:tcPr/>
          <w:p>
            <w:pPr>
              <w:pStyle w:val="Compact"/>
            </w:pPr>
            <w:r>
              <w:t xml:space="preserve">Base</w:t>
            </w:r>
          </w:p>
        </w:tc>
        <w:tc>
          <w:tcPr/>
          <w:p>
            <w:pPr>
              <w:pStyle w:val="Compact"/>
            </w:pPr>
            <w:r>
              <w:t xml:space="preserve">$318.08</w:t>
            </w:r>
          </w:p>
        </w:tc>
        <w:tc>
          <w:tcPr/>
          <w:p>
            <w:pPr>
              <w:pStyle w:val="Compact"/>
            </w:pPr>
            <w:r>
              <w:t xml:space="preserve">-22.9%</w:t>
            </w:r>
          </w:p>
        </w:tc>
      </w:tr>
      <w:tr>
        <w:tc>
          <w:tcPr/>
          <w:p>
            <w:pPr>
              <w:pStyle w:val="Compact"/>
            </w:pPr>
            <w:r>
              <w:t xml:space="preserve">4Q</w:t>
            </w:r>
          </w:p>
        </w:tc>
        <w:tc>
          <w:tcPr/>
          <w:p>
            <w:pPr>
              <w:pStyle w:val="Compact"/>
            </w:pPr>
            <w:r>
              <w:t xml:space="preserve">Bull</w:t>
            </w:r>
          </w:p>
        </w:tc>
        <w:tc>
          <w:tcPr/>
          <w:p>
            <w:pPr>
              <w:pStyle w:val="Compact"/>
            </w:pPr>
            <w:r>
              <w:t xml:space="preserve">$548.35</w:t>
            </w:r>
          </w:p>
        </w:tc>
        <w:tc>
          <w:tcPr/>
          <w:p>
            <w:pPr>
              <w:pStyle w:val="Compact"/>
            </w:pPr>
            <w:r>
              <w:t xml:space="preserve">32.9%</w:t>
            </w:r>
          </w:p>
        </w:tc>
      </w:tr>
      <w:tr>
        <w:tc>
          <w:tcPr/>
          <w:p>
            <w:pPr>
              <w:pStyle w:val="Compact"/>
            </w:pPr>
            <w:r>
              <w:t xml:space="preserve">6Q</w:t>
            </w:r>
          </w:p>
        </w:tc>
        <w:tc>
          <w:tcPr/>
          <w:p>
            <w:pPr>
              <w:pStyle w:val="Compact"/>
            </w:pPr>
            <w:r>
              <w:t xml:space="preserve">Bear</w:t>
            </w:r>
          </w:p>
        </w:tc>
        <w:tc>
          <w:tcPr/>
          <w:p>
            <w:pPr>
              <w:pStyle w:val="Compact"/>
            </w:pPr>
            <w:r>
              <w:t xml:space="preserve">$138.39</w:t>
            </w:r>
          </w:p>
        </w:tc>
        <w:tc>
          <w:tcPr/>
          <w:p>
            <w:pPr>
              <w:pStyle w:val="Compact"/>
            </w:pPr>
            <w:r>
              <w:t xml:space="preserve">-66.5%</w:t>
            </w:r>
          </w:p>
        </w:tc>
      </w:tr>
      <w:tr>
        <w:tc>
          <w:tcPr/>
          <w:p>
            <w:pPr>
              <w:pStyle w:val="Compact"/>
            </w:pPr>
            <w:r>
              <w:t xml:space="preserve">6Q</w:t>
            </w:r>
          </w:p>
        </w:tc>
        <w:tc>
          <w:tcPr/>
          <w:p>
            <w:pPr>
              <w:pStyle w:val="Compact"/>
            </w:pPr>
            <w:r>
              <w:t xml:space="preserve">Base</w:t>
            </w:r>
          </w:p>
        </w:tc>
        <w:tc>
          <w:tcPr/>
          <w:p>
            <w:pPr>
              <w:pStyle w:val="Compact"/>
            </w:pPr>
            <w:r>
              <w:t xml:space="preserve">$357.24</w:t>
            </w:r>
          </w:p>
        </w:tc>
        <w:tc>
          <w:tcPr/>
          <w:p>
            <w:pPr>
              <w:pStyle w:val="Compact"/>
            </w:pPr>
            <w:r>
              <w:t xml:space="preserve">-13.4%</w:t>
            </w:r>
          </w:p>
        </w:tc>
      </w:tr>
      <w:tr>
        <w:tc>
          <w:tcPr/>
          <w:p>
            <w:pPr>
              <w:pStyle w:val="Compact"/>
            </w:pPr>
            <w:r>
              <w:t xml:space="preserve">6Q</w:t>
            </w:r>
          </w:p>
        </w:tc>
        <w:tc>
          <w:tcPr/>
          <w:p>
            <w:pPr>
              <w:pStyle w:val="Compact"/>
            </w:pPr>
            <w:r>
              <w:t xml:space="preserve">Bull</w:t>
            </w:r>
          </w:p>
        </w:tc>
        <w:tc>
          <w:tcPr/>
          <w:p>
            <w:pPr>
              <w:pStyle w:val="Compact"/>
            </w:pPr>
            <w:r>
              <w:t xml:space="preserve">$652.27</w:t>
            </w:r>
          </w:p>
        </w:tc>
        <w:tc>
          <w:tcPr/>
          <w:p>
            <w:pPr>
              <w:pStyle w:val="Compact"/>
            </w:pPr>
            <w:r>
              <w:t xml:space="preserve">58.1%</w:t>
            </w:r>
          </w:p>
        </w:tc>
      </w:tr>
      <w:tr>
        <w:tc>
          <w:tcPr/>
          <w:p>
            <w:pPr>
              <w:pStyle w:val="Compact"/>
            </w:pPr>
            <w:r>
              <w:t xml:space="preserve">8Q</w:t>
            </w:r>
          </w:p>
        </w:tc>
        <w:tc>
          <w:tcPr/>
          <w:p>
            <w:pPr>
              <w:pStyle w:val="Compact"/>
            </w:pPr>
            <w:r>
              <w:t xml:space="preserve">Bear</w:t>
            </w:r>
          </w:p>
        </w:tc>
        <w:tc>
          <w:tcPr/>
          <w:p>
            <w:pPr>
              <w:pStyle w:val="Compact"/>
            </w:pPr>
            <w:r>
              <w:t xml:space="preserve">$140.58</w:t>
            </w:r>
          </w:p>
        </w:tc>
        <w:tc>
          <w:tcPr/>
          <w:p>
            <w:pPr>
              <w:pStyle w:val="Compact"/>
            </w:pPr>
            <w:r>
              <w:t xml:space="preserve">-65.9%</w:t>
            </w:r>
          </w:p>
        </w:tc>
      </w:tr>
      <w:tr>
        <w:tc>
          <w:tcPr/>
          <w:p>
            <w:pPr>
              <w:pStyle w:val="Compact"/>
            </w:pPr>
            <w:r>
              <w:t xml:space="preserve">8Q</w:t>
            </w:r>
          </w:p>
        </w:tc>
        <w:tc>
          <w:tcPr/>
          <w:p>
            <w:pPr>
              <w:pStyle w:val="Compact"/>
            </w:pPr>
            <w:r>
              <w:t xml:space="preserve">Base</w:t>
            </w:r>
          </w:p>
        </w:tc>
        <w:tc>
          <w:tcPr/>
          <w:p>
            <w:pPr>
              <w:pStyle w:val="Compact"/>
            </w:pPr>
            <w:r>
              <w:t xml:space="preserve">$401.53</w:t>
            </w:r>
          </w:p>
        </w:tc>
        <w:tc>
          <w:tcPr/>
          <w:p>
            <w:pPr>
              <w:pStyle w:val="Compact"/>
            </w:pPr>
            <w:r>
              <w:t xml:space="preserve">-2.7%</w:t>
            </w:r>
          </w:p>
        </w:tc>
      </w:tr>
      <w:tr>
        <w:tc>
          <w:tcPr/>
          <w:p>
            <w:pPr>
              <w:pStyle w:val="Compact"/>
            </w:pPr>
            <w:r>
              <w:t xml:space="preserve">8Q</w:t>
            </w:r>
          </w:p>
        </w:tc>
        <w:tc>
          <w:tcPr/>
          <w:p>
            <w:pPr>
              <w:pStyle w:val="Compact"/>
            </w:pPr>
            <w:r>
              <w:t xml:space="preserve">Bull</w:t>
            </w:r>
          </w:p>
        </w:tc>
        <w:tc>
          <w:tcPr/>
          <w:p>
            <w:pPr>
              <w:pStyle w:val="Compact"/>
            </w:pPr>
            <w:r>
              <w:t xml:space="preserve">$775.94</w:t>
            </w:r>
          </w:p>
        </w:tc>
        <w:tc>
          <w:tcPr/>
          <w:p>
            <w:pPr>
              <w:pStyle w:val="Compact"/>
            </w:pPr>
            <w:r>
              <w:t xml:space="preserve">88.1%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35.0x</w:t>
            </w:r>
          </w:p>
        </w:tc>
      </w:tr>
      <w:tr>
        <w:tc>
          <w:tcPr/>
          <w:p>
            <w:pPr>
              <w:pStyle w:val="Compact"/>
            </w:pPr>
            <w:r>
              <w:t xml:space="preserve">4Q</w:t>
            </w:r>
          </w:p>
        </w:tc>
        <w:tc>
          <w:tcPr/>
          <w:p>
            <w:pPr>
              <w:pStyle w:val="Compact"/>
            </w:pPr>
            <w:r>
              <w:t xml:space="preserve">29.3x</w:t>
            </w:r>
          </w:p>
        </w:tc>
      </w:tr>
      <w:tr>
        <w:tc>
          <w:tcPr/>
          <w:p>
            <w:pPr>
              <w:pStyle w:val="Compact"/>
            </w:pPr>
            <w:r>
              <w:t xml:space="preserve">6Q</w:t>
            </w:r>
          </w:p>
        </w:tc>
        <w:tc>
          <w:tcPr/>
          <w:p>
            <w:pPr>
              <w:pStyle w:val="Compact"/>
            </w:pPr>
            <w:r>
              <w:t xml:space="preserve">24.6x</w:t>
            </w:r>
          </w:p>
        </w:tc>
      </w:tr>
      <w:tr>
        <w:tc>
          <w:tcPr/>
          <w:p>
            <w:pPr>
              <w:pStyle w:val="Compact"/>
            </w:pPr>
            <w:r>
              <w:t xml:space="preserve">8Q</w:t>
            </w:r>
          </w:p>
        </w:tc>
        <w:tc>
          <w:tcPr/>
          <w:p>
            <w:pPr>
              <w:pStyle w:val="Compact"/>
            </w:pPr>
            <w:r>
              <w:t xml:space="preserve">20.6x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18.8%</w:t>
            </w:r>
          </w:p>
        </w:tc>
        <w:tc>
          <w:tcPr/>
          <w:p>
            <w:pPr>
              <w:pStyle w:val="Compact"/>
            </w:pPr>
            <w:r>
              <w:t xml:space="preserve">24.0%</w:t>
            </w:r>
          </w:p>
        </w:tc>
        <w:tc>
          <w:tcPr/>
          <w:p>
            <w:pPr>
              <w:pStyle w:val="Compact"/>
            </w:pPr>
            <w:r>
              <w:t xml:space="preserve">12.3%</w:t>
            </w:r>
          </w:p>
        </w:tc>
        <w:tc>
          <w:tcPr/>
          <w:p>
            <w:pPr>
              <w:pStyle w:val="Compact"/>
            </w:pPr>
            <w:r>
              <w:t xml:space="preserve">2.5%</w:t>
            </w:r>
          </w:p>
        </w:tc>
        <w:tc>
          <w:tcPr/>
          <w:p>
            <w:pPr>
              <w:pStyle w:val="Compact"/>
            </w:pPr>
            <w:r>
              <w:t xml:space="preserve">25.0%</w:t>
            </w:r>
          </w:p>
        </w:tc>
        <w:tc>
          <w:tcPr/>
          <w:p>
            <w:pPr>
              <w:pStyle w:val="Compact"/>
            </w:pPr>
            <w:r>
              <w:t xml:space="preserve">$138.45</w:t>
            </w:r>
          </w:p>
        </w:tc>
        <w:tc>
          <w:tcPr/>
          <w:p>
            <w:pPr>
              <w:pStyle w:val="Compact"/>
            </w:pPr>
            <w:r>
              <w:t xml:space="preserve">-66.4%</w:t>
            </w:r>
          </w:p>
        </w:tc>
      </w:tr>
      <w:tr>
        <w:tc>
          <w:tcPr/>
          <w:p>
            <w:pPr>
              <w:pStyle w:val="Compact"/>
            </w:pPr>
            <w:r>
              <w:t xml:space="preserve">Base</w:t>
            </w:r>
          </w:p>
        </w:tc>
        <w:tc>
          <w:tcPr/>
          <w:p>
            <w:pPr>
              <w:pStyle w:val="Compact"/>
            </w:pPr>
            <w:r>
              <w:t xml:space="preserve">37.5%</w:t>
            </w:r>
          </w:p>
        </w:tc>
        <w:tc>
          <w:tcPr/>
          <w:p>
            <w:pPr>
              <w:pStyle w:val="Compact"/>
            </w:pPr>
            <w:r>
              <w:t xml:space="preserve">30.0%</w:t>
            </w:r>
          </w:p>
        </w:tc>
        <w:tc>
          <w:tcPr/>
          <w:p>
            <w:pPr>
              <w:pStyle w:val="Compact"/>
            </w:pPr>
            <w:r>
              <w:t xml:space="preserve">11.3%</w:t>
            </w:r>
          </w:p>
        </w:tc>
        <w:tc>
          <w:tcPr/>
          <w:p>
            <w:pPr>
              <w:pStyle w:val="Compact"/>
            </w:pPr>
            <w:r>
              <w:t xml:space="preserve">3.0%</w:t>
            </w:r>
          </w:p>
        </w:tc>
        <w:tc>
          <w:tcPr/>
          <w:p>
            <w:pPr>
              <w:pStyle w:val="Compact"/>
            </w:pPr>
            <w:r>
              <w:t xml:space="preserve">50.0%</w:t>
            </w:r>
          </w:p>
        </w:tc>
        <w:tc>
          <w:tcPr/>
          <w:p>
            <w:pPr>
              <w:pStyle w:val="Compact"/>
            </w:pPr>
            <w:r>
              <w:t xml:space="preserve">$372.81</w:t>
            </w:r>
          </w:p>
        </w:tc>
        <w:tc>
          <w:tcPr/>
          <w:p>
            <w:pPr>
              <w:pStyle w:val="Compact"/>
            </w:pPr>
            <w:r>
              <w:t xml:space="preserve">-9.6%</w:t>
            </w:r>
          </w:p>
        </w:tc>
      </w:tr>
      <w:tr>
        <w:tc>
          <w:tcPr/>
          <w:p>
            <w:pPr>
              <w:pStyle w:val="Compact"/>
            </w:pPr>
            <w:r>
              <w:t xml:space="preserve">Bull</w:t>
            </w:r>
          </w:p>
        </w:tc>
        <w:tc>
          <w:tcPr/>
          <w:p>
            <w:pPr>
              <w:pStyle w:val="Compact"/>
            </w:pPr>
            <w:r>
              <w:t xml:space="preserve">48.8%</w:t>
            </w:r>
          </w:p>
        </w:tc>
        <w:tc>
          <w:tcPr/>
          <w:p>
            <w:pPr>
              <w:pStyle w:val="Compact"/>
            </w:pPr>
            <w:r>
              <w:t xml:space="preserve">34.5%</w:t>
            </w:r>
          </w:p>
        </w:tc>
        <w:tc>
          <w:tcPr/>
          <w:p>
            <w:pPr>
              <w:pStyle w:val="Compact"/>
            </w:pPr>
            <w:r>
              <w:t xml:space="preserve">10.8%</w:t>
            </w:r>
          </w:p>
        </w:tc>
        <w:tc>
          <w:tcPr/>
          <w:p>
            <w:pPr>
              <w:pStyle w:val="Compact"/>
            </w:pPr>
            <w:r>
              <w:t xml:space="preserve">3.5%</w:t>
            </w:r>
          </w:p>
        </w:tc>
        <w:tc>
          <w:tcPr/>
          <w:p>
            <w:pPr>
              <w:pStyle w:val="Compact"/>
            </w:pPr>
            <w:r>
              <w:t xml:space="preserve">25.0%</w:t>
            </w:r>
          </w:p>
        </w:tc>
        <w:tc>
          <w:tcPr/>
          <w:p>
            <w:pPr>
              <w:pStyle w:val="Compact"/>
            </w:pPr>
            <w:r>
              <w:t xml:space="preserve">$710.82</w:t>
            </w:r>
          </w:p>
        </w:tc>
        <w:tc>
          <w:tcPr/>
          <w:p>
            <w:pPr>
              <w:pStyle w:val="Compact"/>
            </w:pPr>
            <w:r>
              <w:t xml:space="preserve">72.3%</w:t>
            </w:r>
          </w:p>
        </w:tc>
      </w:tr>
    </w:tbl>
    <w:p>
      <w:pPr>
        <w:pStyle w:val="BodyText"/>
      </w:pPr>
      <w:r>
        <w:t xml:space="preserve">Probability-weighted value</w:t>
      </w:r>
      <w:r>
        <w:t xml:space="preserve"> </w:t>
      </w:r>
      <w:r>
        <w:rPr>
          <w:b/>
          <w:bCs/>
        </w:rPr>
        <w:t xml:space="preserve">$398.72</w:t>
      </w:r>
      <w:r>
        <w:t xml:space="preserve"> </w:t>
      </w:r>
      <w:r>
        <w:t xml:space="preserve">(-3.4%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60,251.6 bn TWD; terminal share 57.1%.</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40.5%</w:t>
      </w:r>
      <w:r>
        <w:t xml:space="preserve"> </w:t>
      </w:r>
      <w:r>
        <w:t xml:space="preserve">vs consensus FY+1 37.5%.</w:t>
      </w:r>
    </w:p>
    <w:p>
      <w:pPr>
        <w:pStyle w:val="Compact"/>
        <w:numPr>
          <w:ilvl w:val="0"/>
          <w:numId w:val="1013"/>
        </w:numPr>
      </w:pPr>
      <w:r>
        <w:t xml:space="preserve">WACC (CAPM) = rf 5.1% + β 1.24 × ERP 5.0% = 11.3%.</w:t>
      </w:r>
    </w:p>
    <w:p>
      <w:pPr>
        <w:pStyle w:val="Compact"/>
        <w:numPr>
          <w:ilvl w:val="0"/>
          <w:numId w:val="1013"/>
        </w:numPr>
      </w:pPr>
      <w:r>
        <w:t xml:space="preserve">SOTP segments: HPC/AI </w:t>
      </w:r>
      <w:r>
        <w:rPr>
          <w:rFonts w:hint="eastAsia"/>
        </w:rPr>
        <w:t xml:space="preserve">高性能计算;</w:t>
      </w:r>
      <w:r>
        <w:t xml:space="preserve"> Smartphone </w:t>
      </w:r>
      <w:r>
        <w:rPr>
          <w:rFonts w:hint="eastAsia"/>
        </w:rPr>
        <w:t xml:space="preserve">智能手机;</w:t>
      </w:r>
      <w:r>
        <w:t xml:space="preserve"> IoT/Auto/DCE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Geopolitical shock, US tariffs on chips, Intel/Samsung regain </w:t>
      </w:r>
      <w:r>
        <w:rPr>
          <w:rFonts w:hint="eastAsia"/>
        </w:rPr>
        <w:t xml:space="preserve">share｜地缘冲击、美国芯片关税、英特尔/三星夺回份额</w:t>
      </w:r>
      <w:r>
        <w:t xml:space="preserve"> | Falsifiers: GM falls below long-term target band; monthly revenue y/y decelerates sharply; capex </w:t>
      </w:r>
      <w:r>
        <w:rPr>
          <w:rFonts w:hint="eastAsia"/>
        </w:rPr>
        <w:t xml:space="preserve">cut｜毛利率跌破长期目标区间；月营收同比骤降；Capex下修</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TSM_model_v20261017-0755.xlsx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data/snapshots/20261017-0755</w:t>
      </w:r>
      <w:r>
        <w:t xml:space="preserve"> </w:t>
      </w:r>
      <w:r>
        <w:t xml:space="preserve">(immutable) | Fetched 2026-10-17 07:55 SGT | Generated 2026-10-17 07:56 SGT</w:t>
      </w:r>
      <w:r>
        <w:t xml:space="preserve"> </w:t>
      </w:r>
      <w:r>
        <w:t xml:space="preserve">- Version: v20261017-0755.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2026-10-16T23:57:34Z</dcterms:created>
  <dcterms:modified xsi:type="dcterms:W3CDTF">2026-10-16T23:57:34Z</dcterms:modified>
</cp:coreProperties>
</file>

<file path=docProps/custom.xml><?xml version="1.0" encoding="utf-8"?>
<Properties xmlns="http://schemas.openxmlformats.org/officeDocument/2006/custom-properties" xmlns:vt="http://schemas.openxmlformats.org/officeDocument/2006/docPropsVTypes"/>
</file>