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2d20ca79c40b19fa4df2b8a2c9baea4aef6956"/>
    <w:p>
      <w:pPr>
        <w:pStyle w:val="Heading1"/>
      </w:pPr>
      <w:r>
        <w:t xml:space="preserve">Model Evolution — Regime-aware probability calibration (v2026-10-16)</w:t>
      </w:r>
    </w:p>
    <w:bookmarkEnd w:id="9"/>
    <w:bookmarkStart w:id="16" w:name="模型进化-波动率体制下的概率校准"/>
    <w:p>
      <w:pPr>
        <w:pStyle w:val="Heading1"/>
      </w:pPr>
      <w:r>
        <w:rPr>
          <w:rFonts w:hint="eastAsia"/>
        </w:rPr>
        <w:t xml:space="preserve">模型进化</w:t>
      </w:r>
      <w:r>
        <w:t xml:space="preserve"> — </w:t>
      </w:r>
      <w:r>
        <w:rPr>
          <w:rFonts w:hint="eastAsia"/>
        </w:rPr>
        <w:t xml:space="preserve">波动率体制下的概率校准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2026-10-16 MYT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PROMOTED to Core Model (user-approved) ·</w:t>
      </w:r>
      <w:r>
        <w:t xml:space="preserve"> </w:t>
      </w:r>
      <w:r>
        <w:rPr>
          <w:b/>
          <w:bCs/>
        </w:rPr>
        <w:t xml:space="preserve">Master prompt:</w:t>
      </w:r>
      <w:r>
        <w:t xml:space="preserve"> </w:t>
      </w:r>
      <w:r>
        <w:t xml:space="preserve">v2026-10-16 Part G (extends v2026-10-14 Part F)</w:t>
      </w:r>
    </w:p>
    <w:bookmarkStart w:id="10" w:name="what-we-believed-before之前的做法"/>
    <w:p>
      <w:pPr>
        <w:pStyle w:val="Heading2"/>
      </w:pPr>
      <w:r>
        <w:t xml:space="preserve">What we believed </w:t>
      </w:r>
      <w:r>
        <w:rPr>
          <w:rFonts w:hint="eastAsia"/>
        </w:rPr>
        <w:t xml:space="preserve">before｜之前的做法</w:t>
      </w:r>
    </w:p>
    <w:p>
      <w:pPr>
        <w:pStyle w:val="FirstParagraph"/>
      </w:pPr>
      <w:r>
        <w:t xml:space="preserve">Scenario probabilities were centred on</w:t>
      </w:r>
      <w:r>
        <w:t xml:space="preserve"> </w:t>
      </w:r>
      <w:r>
        <w:t xml:space="preserve">“in-line”</w:t>
      </w:r>
      <w:r>
        <w:t xml:space="preserve"> </w:t>
      </w:r>
      <w:r>
        <w:t xml:space="preserve">(typically 50–55%), scenarios were often described on the headline print, and the earnings</w:t>
      </w:r>
      <w:r>
        <w:t xml:space="preserve"> </w:t>
      </w:r>
      <w:r>
        <w:t xml:space="preserve">“Beat”</w:t>
      </w:r>
      <w:r>
        <w:t xml:space="preserve"> </w:t>
      </w:r>
      <w:r>
        <w:t xml:space="preserve">case assumed a positive reaction.</w:t>
      </w:r>
    </w:p>
    <w:bookmarkEnd w:id="10"/>
    <w:bookmarkStart w:id="11" w:name="evidence-that-tested-it检验证据本系统事后复盘"/>
    <w:p>
      <w:pPr>
        <w:pStyle w:val="Heading2"/>
      </w:pPr>
      <w:r>
        <w:t xml:space="preserve">Evidence that tested </w:t>
      </w:r>
      <w:r>
        <w:rPr>
          <w:rFonts w:hint="eastAsia"/>
        </w:rPr>
        <w:t xml:space="preserve">it｜检验证据（本系统事后复盘）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CPI Sep-26 (10/14):</w:t>
      </w:r>
      <w:r>
        <w:t xml:space="preserve"> </w:t>
      </w:r>
      <w:r>
        <w:t xml:space="preserve">core HOT (core m/m 0.3% vs 0.2% consensus). Locked prior 25/50/25 scored Brier 0.875 vs base rate (36m core m/m) 0.353 — worse than the base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PPI Sep-26 (10/15):</w:t>
      </w:r>
      <w:r>
        <w:t xml:space="preserve"> </w:t>
      </w:r>
      <w:r>
        <w:t xml:space="preserve">landed HOT (tail).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 Retail Sales Sep-26 (10/15):</w:t>
      </w:r>
      <w:r>
        <w:t xml:space="preserve"> </w:t>
      </w:r>
      <w:r>
        <w:t xml:space="preserve">landed STRONG (tail).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TSM Q3-26 (10/15):</w:t>
      </w:r>
      <w:r>
        <w:t xml:space="preserve"> </w:t>
      </w:r>
      <w:r>
        <w:t xml:space="preserve">revenue beat, but ADR −1.8% vs the pre-event Beat playbook (+3% to +7%); the semiconductor sector was de-crowding (AMAT −10.2% over two days). Error class: probability calibration (main) + market-reaction (secondary).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 at adoption (2026-10-16):</w:t>
      </w:r>
      <w:r>
        <w:t xml:space="preserve"> </w:t>
      </w:r>
      <w:r>
        <w:t xml:space="preserve">VIX 16.46 (not high); MOVE 102.49 &gt; its 1-year P80 80.54 (high); last 3 macro releases all in tails (high) → regime HIGH.</w:t>
      </w:r>
    </w:p>
    <w:bookmarkEnd w:id="11"/>
    <w:bookmarkStart w:id="12" w:name="decision决定"/>
    <w:p>
      <w:pPr>
        <w:pStyle w:val="Heading2"/>
      </w:pPr>
      <w:r>
        <w:rPr>
          <w:rFonts w:hint="eastAsia"/>
        </w:rPr>
        <w:t xml:space="preserve">Decision｜决定</w:t>
      </w:r>
    </w:p>
    <w:p>
      <w:pPr>
        <w:pStyle w:val="Compact"/>
        <w:numPr>
          <w:ilvl w:val="0"/>
          <w:numId w:val="1002"/>
        </w:numPr>
      </w:pPr>
      <w:r>
        <w:t xml:space="preserve">Concrete high-volatility regime: VIX &gt; 20 OR MOVE &gt; 110 / &gt; 1-year P80 OR last 3 macro releases all in tails.</w:t>
      </w:r>
    </w:p>
    <w:p>
      <w:pPr>
        <w:pStyle w:val="Compact"/>
        <w:numPr>
          <w:ilvl w:val="0"/>
          <w:numId w:val="1002"/>
        </w:numPr>
      </w:pPr>
      <w:r>
        <w:t xml:space="preserve">In a HIGH regime cap the middle scenario at 45%, redistribute to the tails, renormalise (after the Part F base-rate shrink).</w:t>
      </w:r>
    </w:p>
    <w:p>
      <w:pPr>
        <w:pStyle w:val="Compact"/>
        <w:numPr>
          <w:ilvl w:val="0"/>
          <w:numId w:val="1002"/>
        </w:numPr>
      </w:pPr>
      <w:r>
        <w:t xml:space="preserve">Define scenarios on decision-relevant variables (core, control group, PCE-relevant components, guides), not the headline.</w:t>
      </w:r>
    </w:p>
    <w:p>
      <w:pPr>
        <w:pStyle w:val="Compact"/>
        <w:numPr>
          <w:ilvl w:val="0"/>
          <w:numId w:val="1002"/>
        </w:numPr>
      </w:pPr>
      <w:r>
        <w:t xml:space="preserve">Earnings: split Beat into sector-tailwind vs sector-headwind using sector momentum (SOX 5-day).</w:t>
      </w:r>
    </w:p>
    <w:bookmarkEnd w:id="12"/>
    <w:bookmarkStart w:id="13" w:name="variable-record变量档案"/>
    <w:p>
      <w:pPr>
        <w:pStyle w:val="Heading2"/>
      </w:pPr>
      <w:r>
        <w:t xml:space="preserve">Variable </w:t>
      </w:r>
      <w:r>
        <w:rPr>
          <w:rFonts w:hint="eastAsia"/>
        </w:rPr>
        <w:t xml:space="preserve">record｜变量档案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First discovered</w:t>
            </w:r>
          </w:p>
        </w:tc>
        <w:tc>
          <w:tcPr/>
          <w:p>
            <w:pPr>
              <w:pStyle w:val="Compact"/>
            </w:pPr>
            <w:r>
              <w:t xml:space="preserve">Event that tested it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Base-rate shrink (gap &gt;20pp → ≥50%)</w:t>
            </w:r>
          </w:p>
        </w:tc>
        <w:tc>
          <w:tcPr/>
          <w:p>
            <w:pPr>
              <w:pStyle w:val="Compact"/>
            </w:pPr>
            <w:r>
              <w:t xml:space="preserve">2026-10-14 (CPI post)</w:t>
            </w:r>
          </w:p>
        </w:tc>
        <w:tc>
          <w:tcPr/>
          <w:p>
            <w:pPr>
              <w:pStyle w:val="Compact"/>
            </w:pPr>
            <w:r>
              <w:t xml:space="preserve">CPI Sep-26</w:t>
            </w:r>
          </w:p>
        </w:tc>
        <w:tc>
          <w:tcPr/>
          <w:p>
            <w:pPr>
              <w:pStyle w:val="Compact"/>
            </w:pPr>
            <w:r>
              <w:t xml:space="preserve">Strengthened</w:t>
            </w:r>
          </w:p>
        </w:tc>
        <w:tc>
          <w:tcPr/>
          <w:p>
            <w:pPr>
              <w:pStyle w:val="Compact"/>
            </w:pPr>
            <w:r>
              <w:t xml:space="preserve">Core (v2026-10-14)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High-vol middle cap 45%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CPI/PPI/Retail Sep-26 tails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Core (v2026-10-16)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Decision-relevant scenario variable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CPI (core vs headline), Retail (control group)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Beat × sector momentum split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TSM Q3-26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3"/>
    <w:bookmarkStart w:id="14" w:name="falsifier-review复核条件"/>
    <w:p>
      <w:pPr>
        <w:pStyle w:val="Heading2"/>
      </w:pPr>
      <w:r>
        <w:t xml:space="preserve">Falsifier / </w:t>
      </w:r>
      <w:r>
        <w:rPr>
          <w:rFonts w:hint="eastAsia"/>
        </w:rPr>
        <w:t xml:space="preserve">review｜复核条件</w:t>
      </w:r>
    </w:p>
    <w:p>
      <w:pPr>
        <w:pStyle w:val="FirstParagraph"/>
      </w:pPr>
      <w:r>
        <w:t xml:space="preserve">Review after the next 6 tier-1 events: if cumulative Brier with the cap is worse than without it, downgrade the cap to Observation Zone.</w:t>
      </w:r>
    </w:p>
    <w:bookmarkEnd w:id="14"/>
    <w:bookmarkStart w:id="15" w:name="files-updated"/>
    <w:p>
      <w:pPr>
        <w:pStyle w:val="Heading2"/>
      </w:pPr>
      <w:r>
        <w:t xml:space="preserve">Files updated</w:t>
      </w:r>
    </w:p>
    <w:p>
      <w:pPr>
        <w:pStyle w:val="FirstParagraph"/>
      </w:pPr>
      <w:r>
        <w:rPr>
          <w:rStyle w:val="VerbatimChar"/>
        </w:rPr>
        <w:t xml:space="preserve">pipeline/calibration.py</w:t>
      </w:r>
      <w:r>
        <w:t xml:space="preserve"> </w:t>
      </w:r>
      <w:r>
        <w:t xml:space="preserve">(old rule kept in</w:t>
      </w:r>
      <w:r>
        <w:t xml:space="preserve"> </w:t>
      </w:r>
      <w:r>
        <w:rPr>
          <w:rStyle w:val="VerbatimChar"/>
        </w:rPr>
        <w:t xml:space="preserve">calibration_v2026-10-14.py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build_ppi_pre.py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build_tsm_pre.py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build_1015_pre.py</w:t>
      </w:r>
      <w:r>
        <w:t xml:space="preserve">, master prompt v2026-10-16, skill file.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2026-10-16T04:32:04Z</dcterms:created>
  <dcterms:modified xsi:type="dcterms:W3CDTF">2026-10-16T04:32:04Z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