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6dc97f6761ed1d710b55d79e4657d5ce5e9f0a1"/>
    <w:p>
      <w:pPr>
        <w:pStyle w:val="Heading1"/>
      </w:pPr>
      <w:r>
        <w:rPr>
          <w:rFonts w:hint="eastAsia"/>
        </w:rPr>
        <w:t xml:space="preserve">研究体系审核</w:t>
      </w:r>
      <w:r>
        <w:t xml:space="preserve"> System Review &amp; Audit — v20261017-0755</w:t>
      </w:r>
    </w:p>
    <w:p>
      <w:pPr>
        <w:pStyle w:val="BlockText"/>
      </w:pPr>
      <w:r>
        <w:rPr>
          <w:rFonts w:hint="eastAsia"/>
        </w:rPr>
        <w:t xml:space="preserve">回答你在第10点提出的审核问题。生成于</w:t>
      </w:r>
      <w:r>
        <w:t xml:space="preserve"> 2026-10-17 08:01 SGT。</w:t>
      </w:r>
    </w:p>
    <w:bookmarkStart w:id="9" w:name="研究范围是否正确遗漏模块-scope-gaps"/>
    <w:p>
      <w:pPr>
        <w:pStyle w:val="Heading2"/>
      </w:pPr>
      <w:r>
        <w:t xml:space="preserve">1. </w:t>
      </w:r>
      <w:r>
        <w:rPr>
          <w:rFonts w:hint="eastAsia"/>
        </w:rPr>
        <w:t xml:space="preserve">研究范围是否正确？遗漏模块</w:t>
      </w:r>
      <w:r>
        <w:t xml:space="preserve"> Scope gaps</w:t>
      </w:r>
    </w:p>
    <w:p>
      <w:pPr>
        <w:pStyle w:val="FirstParagraph"/>
      </w:pPr>
      <w:r>
        <w:rPr>
          <w:rFonts w:hint="eastAsia"/>
        </w:rPr>
        <w:t xml:space="preserve">已覆盖:</w:t>
      </w:r>
      <w:r>
        <w:t xml:space="preserve"> </w:t>
      </w:r>
      <w:r>
        <w:rPr>
          <w:rFonts w:hint="eastAsia"/>
        </w:rPr>
        <w:t xml:space="preserve">宏观政策、利率、通胀、就业、流动性、套息、跨资产、AI供应链、台日韩雷达、27家个股、事件生命周期。</w:t>
      </w:r>
      <w:r>
        <w:t xml:space="preserve"> </w:t>
      </w:r>
      <w:r>
        <w:rPr>
          <w:rFonts w:hint="eastAsia"/>
          <w:b/>
          <w:bCs/>
        </w:rPr>
        <w:t xml:space="preserve">建议新增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(缺口)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信用与私募信贷</w:t>
      </w:r>
      <w:r>
        <w:rPr>
          <w:b/>
          <w:bCs/>
        </w:rPr>
        <w:t xml:space="preserve"> Private credit / AI </w:t>
      </w:r>
      <w:r>
        <w:rPr>
          <w:rFonts w:hint="eastAsia"/>
          <w:b/>
          <w:bCs/>
        </w:rPr>
        <w:t xml:space="preserve">融资链</w:t>
      </w:r>
      <w:r>
        <w:t xml:space="preserve">: </w:t>
      </w:r>
      <w:r>
        <w:rPr>
          <w:rFonts w:hint="eastAsia"/>
        </w:rPr>
        <w:t xml:space="preserve">CRWV、Oracle、数据中心ABS/项目债——AI</w:t>
      </w:r>
      <w:r>
        <w:t xml:space="preserve"> Capex </w:t>
      </w:r>
      <w:r>
        <w:rPr>
          <w:rFonts w:hint="eastAsia"/>
        </w:rPr>
        <w:t xml:space="preserve">越来越依赖债务，是反身性风险源。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财政与国债供给</w:t>
      </w:r>
      <w:r>
        <w:rPr>
          <w:b/>
          <w:bCs/>
        </w:rPr>
        <w:t xml:space="preserve"> Fiscal &amp; Treasury supply</w:t>
      </w:r>
      <w:r>
        <w:t xml:space="preserve">: </w:t>
      </w:r>
      <w:r>
        <w:rPr>
          <w:rFonts w:hint="eastAsia"/>
        </w:rPr>
        <w:t xml:space="preserve">再融资季度公告(QRA)、拍卖尾差、期限溢价——10Y</w:t>
      </w:r>
      <w:r>
        <w:t xml:space="preserve"> </w:t>
      </w:r>
      <w:r>
        <w:rPr>
          <w:rFonts w:hint="eastAsia"/>
        </w:rPr>
        <w:t xml:space="preserve">已在5%以上，此项对估值影响大。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中国变量</w:t>
      </w:r>
      <w:r>
        <w:rPr>
          <w:b/>
          <w:bCs/>
        </w:rPr>
        <w:t xml:space="preserve"> China</w:t>
      </w:r>
      <w:r>
        <w:t xml:space="preserve">: </w:t>
      </w:r>
      <w:r>
        <w:rPr>
          <w:rFonts w:hint="eastAsia"/>
        </w:rPr>
        <w:t xml:space="preserve">出口管制、稀土/镓锗、国产替代(CXMT/华为昇腾)、中国需求。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能源/电力价格</w:t>
      </w:r>
      <w:r>
        <w:t xml:space="preserve">: </w:t>
      </w:r>
      <w:r>
        <w:rPr>
          <w:rFonts w:hint="eastAsia"/>
        </w:rPr>
        <w:t xml:space="preserve">天然气、PJM容量价格、核电/SMR、变压器交期——AI电力瓶颈的价格信号。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持仓/资金面数据源</w:t>
      </w:r>
      <w:r>
        <w:t xml:space="preserve">: CFTC </w:t>
      </w:r>
      <w:r>
        <w:rPr>
          <w:rFonts w:hint="eastAsia"/>
        </w:rPr>
        <w:t xml:space="preserve">COT、EPFR流向、期权偏度/Gamma、卖空比例——v1</w:t>
      </w:r>
      <w:r>
        <w:t xml:space="preserve"> </w:t>
      </w:r>
      <w:r>
        <w:rPr>
          <w:rFonts w:hint="eastAsia"/>
        </w:rPr>
        <w:t xml:space="preserve">未接入，因此”机构定位”只给框架不下结论。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元器件价格源</w:t>
      </w:r>
      <w:r>
        <w:t xml:space="preserve">: </w:t>
      </w:r>
      <w:r>
        <w:rPr>
          <w:rFonts w:hint="eastAsia"/>
        </w:rPr>
        <w:t xml:space="preserve">DRAM/NAND合约价与现货价(TrendForce/DRAMeXchange)、光模块与EML价格、ABF/CCL价格——需付费或手工录入。</w:t>
      </w:r>
    </w:p>
    <w:bookmarkEnd w:id="9"/>
    <w:bookmarkStart w:id="10" w:name="是否扩展观察名单-watchlist-expansion-建议非必须"/>
    <w:p>
      <w:pPr>
        <w:pStyle w:val="Heading2"/>
      </w:pPr>
      <w:r>
        <w:t xml:space="preserve">2. </w:t>
      </w:r>
      <w:r>
        <w:rPr>
          <w:rFonts w:hint="eastAsia"/>
        </w:rPr>
        <w:t xml:space="preserve">是否扩展观察名单</w:t>
      </w:r>
      <w:r>
        <w:t xml:space="preserve"> Watchlist expansion </w:t>
      </w:r>
      <w:r>
        <w:rPr>
          <w:rFonts w:hint="eastAsia"/>
        </w:rPr>
        <w:t xml:space="preserve">(建议，非必须)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网络/互连:</w:t>
      </w:r>
      <w:r>
        <w:t xml:space="preserve"> ANET, CRDO, ALAB, FN (Fabrinet), APH (Amphenol)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存储:</w:t>
      </w:r>
      <w:r>
        <w:t xml:space="preserve"> SNDK, WDC, </w:t>
      </w:r>
      <w:r>
        <w:rPr>
          <w:rFonts w:hint="eastAsia"/>
        </w:rPr>
        <w:t xml:space="preserve">STX；HBM</w:t>
      </w:r>
      <w:r>
        <w:t xml:space="preserve"> </w:t>
      </w:r>
      <w:r>
        <w:rPr>
          <w:rFonts w:hint="eastAsia"/>
        </w:rPr>
        <w:t xml:space="preserve">设备:</w:t>
      </w:r>
      <w:r>
        <w:t xml:space="preserve"> </w:t>
      </w:r>
      <w:r>
        <w:rPr>
          <w:rFonts w:hint="eastAsia"/>
        </w:rPr>
        <w:t xml:space="preserve">韩美(042700.KS,</w:t>
      </w:r>
      <w:r>
        <w:t xml:space="preserve"> </w:t>
      </w:r>
      <w:r>
        <w:rPr>
          <w:rFonts w:hint="eastAsia"/>
        </w:rPr>
        <w:t xml:space="preserve">已在雷达)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半导体设备/EDA:</w:t>
      </w:r>
      <w:r>
        <w:t xml:space="preserve"> LRCX, ASML, CDNS, SNPS, TER </w:t>
      </w:r>
      <w:r>
        <w:rPr>
          <w:rFonts w:hint="eastAsia"/>
        </w:rPr>
        <w:t xml:space="preserve">(测试)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电力/散热:</w:t>
      </w:r>
      <w:r>
        <w:t xml:space="preserve"> VRT (Vertiv), GEV (GE Vernova), ETN, CEG/VST </w:t>
      </w:r>
      <w:r>
        <w:rPr>
          <w:rFonts w:hint="eastAsia"/>
        </w:rPr>
        <w:t xml:space="preserve">(电力)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云/AI</w:t>
      </w:r>
      <w:r>
        <w:t xml:space="preserve"> </w:t>
      </w:r>
      <w:r>
        <w:rPr>
          <w:rFonts w:hint="eastAsia"/>
        </w:rPr>
        <w:t xml:space="preserve">平台:</w:t>
      </w:r>
      <w:r>
        <w:t xml:space="preserve"> MSFT, GOOGL, AMZN, META, ORCL </w:t>
      </w:r>
      <w:r>
        <w:rPr>
          <w:rFonts w:hint="eastAsia"/>
        </w:rPr>
        <w:t xml:space="preserve">(资本开支来源——Capex</w:t>
      </w:r>
      <w:r>
        <w:t xml:space="preserve"> </w:t>
      </w:r>
      <w:r>
        <w:rPr>
          <w:rFonts w:hint="eastAsia"/>
        </w:rPr>
        <w:t xml:space="preserve">指引是整个AI链的上游信号)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自动驾驶:</w:t>
      </w:r>
      <w:r>
        <w:t xml:space="preserve"> UBER, </w:t>
      </w:r>
      <w:r>
        <w:rPr>
          <w:rFonts w:hint="eastAsia"/>
        </w:rPr>
        <w:t xml:space="preserve">WAYMO(未上市,</w:t>
      </w:r>
      <w:r>
        <w:t xml:space="preserve"> </w:t>
      </w:r>
      <w:r>
        <w:rPr>
          <w:rFonts w:hint="eastAsia"/>
        </w:rPr>
        <w:t xml:space="preserve">通过GOOGL),</w:t>
      </w:r>
      <w:r>
        <w:t xml:space="preserve"> MBLY</w:t>
      </w:r>
      <w:r>
        <w:t xml:space="preserve"> </w:t>
      </w:r>
      <w:r>
        <w:rPr>
          <w:rFonts w:hint="eastAsia"/>
        </w:rPr>
        <w:t xml:space="preserve">优先级建议:</w:t>
      </w:r>
      <w:r>
        <w:t xml:space="preserve"> </w:t>
      </w:r>
      <w:r>
        <w:rPr>
          <w:rFonts w:hint="eastAsia"/>
        </w:rPr>
        <w:t xml:space="preserve">先加</w:t>
      </w:r>
      <w:r>
        <w:t xml:space="preserve"> </w:t>
      </w:r>
      <w:r>
        <w:rPr>
          <w:rFonts w:hint="eastAsia"/>
          <w:b/>
          <w:bCs/>
        </w:rPr>
        <w:t xml:space="preserve">云厂4家+ORCL</w:t>
      </w:r>
      <w:r>
        <w:t xml:space="preserve"> </w:t>
      </w:r>
      <w:r>
        <w:rPr>
          <w:rFonts w:hint="eastAsia"/>
        </w:rPr>
        <w:t xml:space="preserve">(Capex源头)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VRT/GEV/ANET/LRCX/ASML</w:t>
      </w:r>
      <w:r>
        <w:t xml:space="preserve">。</w:t>
      </w:r>
    </w:p>
    <w:bookmarkEnd w:id="10"/>
    <w:bookmarkStart w:id="11" w:name="台日韩题材分类是否细到技术制程产品"/>
    <w:p>
      <w:pPr>
        <w:pStyle w:val="Heading2"/>
      </w:pPr>
      <w:r>
        <w:t xml:space="preserve">3. </w:t>
      </w:r>
      <w:r>
        <w:rPr>
          <w:rFonts w:hint="eastAsia"/>
        </w:rPr>
        <w:t xml:space="preserve">台日韩题材分类是否细到技术/制程/产品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采用</w:t>
      </w:r>
      <w:r>
        <w:t xml:space="preserve"> L1 </w:t>
      </w:r>
      <w:r>
        <w:rPr>
          <w:rFonts w:hint="eastAsia"/>
        </w:rPr>
        <w:t xml:space="preserve">题材</w:t>
      </w:r>
      <w:r>
        <w:t xml:space="preserve"> </w:t>
      </w:r>
      <w:r>
        <w:rPr>
          <w:rFonts w:hint="eastAsia"/>
        </w:rPr>
        <w:t xml:space="preserve">(如</w:t>
      </w:r>
      <w:r>
        <w:t xml:space="preserve"> Optical </w:t>
      </w:r>
      <w:r>
        <w:rPr>
          <w:rFonts w:hint="eastAsia"/>
        </w:rPr>
        <w:t xml:space="preserve">光通信)</w:t>
      </w:r>
      <w:r>
        <w:t xml:space="preserve"> + L2 </w:t>
      </w:r>
      <w:r>
        <w:rPr>
          <w:rFonts w:hint="eastAsia"/>
        </w:rPr>
        <w:t xml:space="preserve">技术/产品</w:t>
      </w:r>
      <w:r>
        <w:t xml:space="preserve"> </w:t>
      </w:r>
      <w:r>
        <w:rPr>
          <w:rFonts w:hint="eastAsia"/>
        </w:rPr>
        <w:t xml:space="preserve">(如</w:t>
      </w:r>
      <w:r>
        <w:t xml:space="preserve"> InP </w:t>
      </w:r>
      <w:r>
        <w:rPr>
          <w:rFonts w:hint="eastAsia"/>
        </w:rPr>
        <w:t xml:space="preserve">磊晶、EML、CPO、ABF</w:t>
      </w:r>
      <w:r>
        <w:t xml:space="preserve"> </w:t>
      </w:r>
      <w:r>
        <w:rPr>
          <w:rFonts w:hint="eastAsia"/>
        </w:rPr>
        <w:t xml:space="preserve">载板、高速CCL</w:t>
      </w:r>
      <w:r>
        <w:t xml:space="preserve"> M8/M9、TC </w:t>
      </w:r>
      <w:r>
        <w:rPr>
          <w:rFonts w:hint="eastAsia"/>
        </w:rPr>
        <w:t xml:space="preserve">Bonder、HBM测试)。共</w:t>
      </w:r>
      <w:r>
        <w:t xml:space="preserve"> 48 </w:t>
      </w:r>
      <w:r>
        <w:rPr>
          <w:rFonts w:hint="eastAsia"/>
        </w:rPr>
        <w:t xml:space="preserve">档标的。</w:t>
      </w:r>
      <w:r>
        <w:t xml:space="preserve"> </w:t>
      </w:r>
      <w:r>
        <w:rPr>
          <w:rFonts w:hint="eastAsia"/>
          <w:b/>
          <w:bCs/>
        </w:rPr>
        <w:t xml:space="preserve">下一步</w:t>
      </w:r>
      <w:r>
        <w:t xml:space="preserve">: </w:t>
      </w:r>
      <w:r>
        <w:rPr>
          <w:rFonts w:hint="eastAsia"/>
        </w:rPr>
        <w:t xml:space="preserve">增加</w:t>
      </w:r>
      <w:r>
        <w:t xml:space="preserve"> L3 </w:t>
      </w:r>
      <w:r>
        <w:rPr>
          <w:rFonts w:hint="eastAsia"/>
        </w:rPr>
        <w:t xml:space="preserve">制程/规格</w:t>
      </w:r>
      <w:r>
        <w:t xml:space="preserve"> </w:t>
      </w:r>
      <w:r>
        <w:rPr>
          <w:rFonts w:hint="eastAsia"/>
        </w:rPr>
        <w:t xml:space="preserve">(例如</w:t>
      </w:r>
      <w:r>
        <w:t xml:space="preserve"> CoWoS-S/L/R、HBM3E 12-Hi vs HBM4、800G vs 1.6T、M8 vs M9 </w:t>
      </w:r>
      <w:r>
        <w:rPr>
          <w:rFonts w:hint="eastAsia"/>
        </w:rPr>
        <w:t xml:space="preserve">CCL)，并对每档标注”美股锚点”(read-across)。每月复核成分。</w:t>
      </w:r>
    </w:p>
    <w:bookmarkEnd w:id="11"/>
    <w:bookmarkStart w:id="12" w:name="个股报告-更好的财务估值分析"/>
    <w:p>
      <w:pPr>
        <w:pStyle w:val="Heading2"/>
      </w:pPr>
      <w:r>
        <w:t xml:space="preserve">4. </w:t>
      </w:r>
      <w:r>
        <w:rPr>
          <w:rFonts w:hint="eastAsia"/>
        </w:rPr>
        <w:t xml:space="preserve">个股报告:</w:t>
      </w:r>
      <w:r>
        <w:t xml:space="preserve"> </w:t>
      </w:r>
      <w:r>
        <w:rPr>
          <w:rFonts w:hint="eastAsia"/>
        </w:rPr>
        <w:t xml:space="preserve">更好的财务/估值分析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已有:</w:t>
      </w:r>
      <w:r>
        <w:t xml:space="preserve"> </w:t>
      </w:r>
      <w:r>
        <w:rPr>
          <w:rFonts w:hint="eastAsia"/>
        </w:rPr>
        <w:t xml:space="preserve">10年DCF三情景、反向DCF、ROIC-WACC、2/4/6/8季度检验、同业、敏感度。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改进</w:t>
      </w:r>
      <w:r>
        <w:t xml:space="preserve">: (a) </w:t>
      </w:r>
      <w:r>
        <w:rPr>
          <w:rFonts w:hint="eastAsia"/>
        </w:rPr>
        <w:t xml:space="preserve">分部SOTP——需从10-K录入分部收入(v1留空以免编造)；(b)</w:t>
      </w:r>
      <w:r>
        <w:t xml:space="preserve"> </w:t>
      </w:r>
      <w:r>
        <w:rPr>
          <w:rFonts w:hint="eastAsia"/>
        </w:rPr>
        <w:t xml:space="preserve">按行业换主估值法:</w:t>
      </w:r>
      <w:r>
        <w:t xml:space="preserve"> </w:t>
      </w:r>
      <w:r>
        <w:rPr>
          <w:rFonts w:hint="eastAsia"/>
        </w:rPr>
        <w:t xml:space="preserve">存储/设备用周期中值P/B与EV/EBITDA；软件用EV/NTM收入</w:t>
      </w:r>
      <w:r>
        <w:t xml:space="preserve"> vs </w:t>
      </w:r>
      <w:r>
        <w:rPr>
          <w:rFonts w:hint="eastAsia"/>
        </w:rPr>
        <w:t xml:space="preserve">增速(Rule</w:t>
      </w:r>
      <w:r>
        <w:t xml:space="preserve"> of </w:t>
      </w:r>
      <w:r>
        <w:rPr>
          <w:rFonts w:hint="eastAsia"/>
        </w:rPr>
        <w:t xml:space="preserve">40)；CRWV用合约积压折现+资产回收；SPCX/RKLB用分部+期权；(c)</w:t>
      </w:r>
      <w:r>
        <w:t xml:space="preserve"> </w:t>
      </w:r>
      <w:r>
        <w:rPr>
          <w:rFonts w:hint="eastAsia"/>
        </w:rPr>
        <w:t xml:space="preserve">EPS桥(收入×毛利×费用×股本)而非仅FCF；(d)</w:t>
      </w:r>
      <w:r>
        <w:t xml:space="preserve"> </w:t>
      </w:r>
      <w:r>
        <w:rPr>
          <w:rFonts w:hint="eastAsia"/>
        </w:rPr>
        <w:t xml:space="preserve">管理层指引录入与”指引可信度”历史评分；(e)</w:t>
      </w:r>
      <w:r>
        <w:t xml:space="preserve"> </w:t>
      </w:r>
      <w:r>
        <w:rPr>
          <w:rFonts w:hint="eastAsia"/>
        </w:rPr>
        <w:t xml:space="preserve">一致预期修正动量(eps_trend</w:t>
      </w:r>
      <w:r>
        <w:t xml:space="preserve"> </w:t>
      </w:r>
      <w:r>
        <w:rPr>
          <w:rFonts w:hint="eastAsia"/>
        </w:rPr>
        <w:t xml:space="preserve">已抓取，下一版纳入图)。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注意:</w:t>
      </w:r>
      <w:r>
        <w:t xml:space="preserve"> v1 </w:t>
      </w:r>
      <w:r>
        <w:rPr>
          <w:rFonts w:hint="eastAsia"/>
        </w:rPr>
        <w:t xml:space="preserve">的统一假设</w:t>
      </w:r>
      <w:r>
        <w:t xml:space="preserve"> (ERP </w:t>
      </w:r>
      <w:r>
        <w:rPr>
          <w:rFonts w:hint="eastAsia"/>
        </w:rPr>
        <w:t xml:space="preserve">5%、β夹在0.8–1.6、长期FCF率按框架)</w:t>
      </w:r>
      <w:r>
        <w:t xml:space="preserve"> </w:t>
      </w:r>
      <w:r>
        <w:rPr>
          <w:rFonts w:hint="eastAsia"/>
        </w:rPr>
        <w:t xml:space="preserve">对高成长股给出偏低的Base价值；这正是用反向DCF呈现”价格隐含了什么”的原因，不应读作目标价。</w:t>
      </w:r>
    </w:p>
    <w:bookmarkEnd w:id="12"/>
    <w:bookmarkStart w:id="13" w:name="三情景与excel公式可审计性"/>
    <w:p>
      <w:pPr>
        <w:pStyle w:val="Heading2"/>
      </w:pPr>
      <w:r>
        <w:t xml:space="preserve">5. </w:t>
      </w:r>
      <w:r>
        <w:rPr>
          <w:rFonts w:hint="eastAsia"/>
        </w:rPr>
        <w:t xml:space="preserve">三情景与Excel公式可审计性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每个模型</w:t>
      </w:r>
      <w:r>
        <w:t xml:space="preserve"> ~2,400 </w:t>
      </w:r>
      <w:r>
        <w:rPr>
          <w:rFonts w:hint="eastAsia"/>
        </w:rPr>
        <w:t xml:space="preserve">条实时公式；黄色=假设、蓝色=数据；Sources</w:t>
      </w:r>
      <w:r>
        <w:t xml:space="preserve"> </w:t>
      </w:r>
      <w:r>
        <w:rPr>
          <w:rFonts w:hint="eastAsia"/>
        </w:rPr>
        <w:t xml:space="preserve">与</w:t>
      </w:r>
      <w:r>
        <w:t xml:space="preserve"> Assumptions </w:t>
      </w:r>
      <w:r>
        <w:rPr>
          <w:rFonts w:hint="eastAsia"/>
        </w:rPr>
        <w:t xml:space="preserve">表逐项列出来源/理由。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自动核验:</w:t>
      </w:r>
      <w:r>
        <w:t xml:space="preserve"> LibreOffice </w:t>
      </w:r>
      <w:r>
        <w:rPr>
          <w:rFonts w:hint="eastAsia"/>
        </w:rPr>
        <w:t xml:space="preserve">重算结果与</w:t>
      </w:r>
      <w:r>
        <w:t xml:space="preserve"> Python </w:t>
      </w:r>
      <w:r>
        <w:rPr>
          <w:rFonts w:hint="eastAsia"/>
        </w:rPr>
        <w:t xml:space="preserve">镜像逐一比对</w:t>
      </w:r>
      <w:r>
        <w:t xml:space="preserve"> </w:t>
      </w:r>
      <w:r>
        <w:rPr>
          <w:rFonts w:hint="eastAsia"/>
        </w:rPr>
        <w:t xml:space="preserve">(容差1e-4)。本次结果见下表</w:t>
      </w:r>
      <w:r>
        <w:t xml:space="preserve"> </w:t>
      </w:r>
      <w:r>
        <w:rPr>
          <w:rStyle w:val="VerbatimChar"/>
        </w:rPr>
        <w:t xml:space="preserve">xlsx_recalc_match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待改进:</w:t>
      </w:r>
      <w:r>
        <w:t xml:space="preserve"> </w:t>
      </w:r>
      <w:r>
        <w:rPr>
          <w:rFonts w:hint="eastAsia"/>
        </w:rPr>
        <w:t xml:space="preserve">情景概率目前固定</w:t>
      </w:r>
      <w:r>
        <w:t xml:space="preserve"> 25/50/25 </w:t>
      </w:r>
      <w:r>
        <w:rPr>
          <w:rFonts w:hint="eastAsia"/>
        </w:rPr>
        <w:t xml:space="preserve">(ASSUMPTION)；下一版应按证据调整并记录调整理由。</w:t>
      </w:r>
    </w:p>
    <w:bookmarkEnd w:id="13"/>
    <w:bookmarkStart w:id="14" w:name="初学者教学是否足够"/>
    <w:p>
      <w:pPr>
        <w:pStyle w:val="Heading2"/>
      </w:pPr>
      <w:r>
        <w:t xml:space="preserve">6. </w:t>
      </w:r>
      <w:r>
        <w:rPr>
          <w:rFonts w:hint="eastAsia"/>
        </w:rPr>
        <w:t xml:space="preserve">初学者教学是否足够</w:t>
      </w:r>
    </w:p>
    <w:p>
      <w:pPr>
        <w:pStyle w:val="FirstParagraph"/>
      </w:pPr>
      <w:r>
        <w:rPr>
          <w:rFonts w:hint="eastAsia"/>
        </w:rPr>
        <w:t xml:space="preserve">每个个股/宏观有独立中英文教学版，遵循九步阶梯</w:t>
      </w:r>
      <w:r>
        <w:t xml:space="preserve"> + </w:t>
      </w:r>
      <w:r>
        <w:rPr>
          <w:rFonts w:hint="eastAsia"/>
        </w:rPr>
        <w:t xml:space="preserve">自测题。不足:</w:t>
      </w:r>
      <w:r>
        <w:t xml:space="preserve"> </w:t>
      </w:r>
      <w:r>
        <w:rPr>
          <w:rFonts w:hint="eastAsia"/>
        </w:rPr>
        <w:t xml:space="preserve">例题目前以DCF为主；下一版每次事件后加入”本次事件的例题”(如CPI超预期0.1pp</w:t>
      </w:r>
      <w:r>
        <w:t xml:space="preserve"> → 2Y </w:t>
      </w:r>
      <w:r>
        <w:rPr>
          <w:rFonts w:hint="eastAsia"/>
        </w:rPr>
        <w:t xml:space="preserve">变动</w:t>
      </w:r>
      <w:r>
        <w:t xml:space="preserve"> → </w:t>
      </w:r>
      <w:r>
        <w:rPr>
          <w:rFonts w:hint="eastAsia"/>
        </w:rPr>
        <w:t xml:space="preserve">成长股估值影响)。</w:t>
      </w:r>
    </w:p>
    <w:bookmarkEnd w:id="14"/>
    <w:bookmarkStart w:id="15" w:name="图片报告结构完整性"/>
    <w:p>
      <w:pPr>
        <w:pStyle w:val="Heading2"/>
      </w:pPr>
      <w:r>
        <w:t xml:space="preserve">7. </w:t>
      </w:r>
      <w:r>
        <w:rPr>
          <w:rFonts w:hint="eastAsia"/>
        </w:rPr>
        <w:t xml:space="preserve">图片报告结构完整性</w:t>
      </w:r>
    </w:p>
    <w:p>
      <w:pPr>
        <w:pStyle w:val="FirstParagraph"/>
      </w:pPr>
      <w:r>
        <w:rPr>
          <w:rFonts w:hint="eastAsia"/>
        </w:rPr>
        <w:t xml:space="preserve">每家公司5张</w:t>
      </w:r>
      <w:r>
        <w:t xml:space="preserve"> 2400×1350 PNG + JPG: </w:t>
      </w:r>
      <w:r>
        <w:rPr>
          <w:rFonts w:hint="eastAsia"/>
        </w:rPr>
        <w:t xml:space="preserve">①股价vs三情景</w:t>
      </w:r>
      <w:r>
        <w:t xml:space="preserve"> </w:t>
      </w:r>
      <w:r>
        <w:rPr>
          <w:rFonts w:hint="eastAsia"/>
        </w:rPr>
        <w:t xml:space="preserve">②季度财务</w:t>
      </w:r>
      <w:r>
        <w:t xml:space="preserve"> </w:t>
      </w:r>
      <w:r>
        <w:rPr>
          <w:rFonts w:hint="eastAsia"/>
        </w:rPr>
        <w:t xml:space="preserve">③三情景</w:t>
      </w:r>
      <w:r>
        <w:t xml:space="preserve"> </w:t>
      </w:r>
      <w:r>
        <w:rPr>
          <w:rFonts w:hint="eastAsia"/>
        </w:rPr>
        <w:t xml:space="preserve">④2/4/6/8季度检验</w:t>
      </w:r>
      <w:r>
        <w:t xml:space="preserve"> </w:t>
      </w:r>
      <w:r>
        <w:rPr>
          <w:rFonts w:hint="eastAsia"/>
        </w:rPr>
        <w:t xml:space="preserve">⑤研究逻辑图；每张含声明类别、来源、思考提示。宏观5张、雷达3张、日报2张。不足:</w:t>
      </w:r>
      <w:r>
        <w:t xml:space="preserve"> </w:t>
      </w:r>
      <w:r>
        <w:rPr>
          <w:rFonts w:hint="eastAsia"/>
        </w:rPr>
        <w:t xml:space="preserve">尚无供应链地图与KPI红绿灯图</w:t>
      </w:r>
      <w:r>
        <w:t xml:space="preserve"> </w:t>
      </w:r>
      <w:r>
        <w:rPr>
          <w:rFonts w:hint="eastAsia"/>
        </w:rPr>
        <w:t xml:space="preserve">(需结构化KPI数据)。</w:t>
      </w:r>
    </w:p>
    <w:bookmarkEnd w:id="15"/>
    <w:bookmarkStart w:id="16" w:name="历史版本与全部文件能否真正打开-实测"/>
    <w:p>
      <w:pPr>
        <w:pStyle w:val="Heading2"/>
      </w:pPr>
      <w:r>
        <w:t xml:space="preserve">8. </w:t>
      </w:r>
      <w:r>
        <w:rPr>
          <w:rFonts w:hint="eastAsia"/>
        </w:rPr>
        <w:t xml:space="preserve">历史版本与全部文件能否真正打开</w:t>
      </w:r>
      <w:r>
        <w:t xml:space="preserve"> </w:t>
      </w:r>
      <w:r>
        <w:rPr>
          <w:rFonts w:hint="eastAsia"/>
        </w:rPr>
        <w:t xml:space="preserve">(实测)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497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491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html_links</w:t>
            </w:r>
          </w:p>
        </w:tc>
        <w:tc>
          <w:tcPr/>
          <w:p>
            <w:pPr>
              <w:pStyle w:val="Compact"/>
            </w:pPr>
            <w:r>
              <w:t xml:space="preserve">20623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xlsx_recalc_match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png_hd&gt;=2000px</w:t>
            </w:r>
          </w:p>
        </w:tc>
        <w:tc>
          <w:tcPr/>
          <w:p>
            <w:pPr>
              <w:pStyle w:val="Compact"/>
            </w:pPr>
            <w:r>
              <w:t xml:space="preserve">1277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方法:</w:t>
      </w:r>
      <w:r>
        <w:t xml:space="preserve"> pdfinfo </w:t>
      </w:r>
      <w:r>
        <w:rPr>
          <w:rFonts w:hint="eastAsia"/>
        </w:rPr>
        <w:t xml:space="preserve">解析每个PDF；python-docx</w:t>
      </w:r>
      <w:r>
        <w:t xml:space="preserve"> </w:t>
      </w:r>
      <w:r>
        <w:rPr>
          <w:rFonts w:hint="eastAsia"/>
        </w:rPr>
        <w:t xml:space="preserve">打开每个DOCX；openpyxl</w:t>
      </w:r>
      <w:r>
        <w:t xml:space="preserve"> </w:t>
      </w:r>
      <w:r>
        <w:rPr>
          <w:rFonts w:hint="eastAsia"/>
        </w:rPr>
        <w:t xml:space="preserve">读取</w:t>
      </w:r>
      <w:r>
        <w:t xml:space="preserve"> + LibreOffice </w:t>
      </w:r>
      <w:r>
        <w:rPr>
          <w:rFonts w:hint="eastAsia"/>
        </w:rPr>
        <w:t xml:space="preserve">重算每个XLSX；zipfile.testzip</w:t>
      </w:r>
      <w:r>
        <w:t xml:space="preserve"> </w:t>
      </w:r>
      <w:r>
        <w:rPr>
          <w:rFonts w:hint="eastAsia"/>
        </w:rPr>
        <w:t xml:space="preserve">校验每个ZIP；解析每个HTML的本地链接是否存在；检查PNG分辨率。旧档案(9月)以原样复制到</w:t>
      </w:r>
      <w:r>
        <w:t xml:space="preserve"> legacy/ </w:t>
      </w:r>
      <w:r>
        <w:rPr>
          <w:rFonts w:hint="eastAsia"/>
        </w:rPr>
        <w:t xml:space="preserve">可浏览。</w:t>
      </w:r>
    </w:p>
    <w:bookmarkEnd w:id="16"/>
    <w:bookmarkStart w:id="17" w:name="更新频率矩阵-update-cadence"/>
    <w:p>
      <w:pPr>
        <w:pStyle w:val="Heading2"/>
      </w:pPr>
      <w:r>
        <w:t xml:space="preserve">9. </w:t>
      </w:r>
      <w:r>
        <w:rPr>
          <w:rFonts w:hint="eastAsia"/>
        </w:rPr>
        <w:t xml:space="preserve">更新频率矩阵</w:t>
      </w:r>
      <w:r>
        <w:t xml:space="preserve"> Update cadence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每次财报/事件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/ </w:t>
            </w:r>
            <w:r>
              <w:rPr>
                <w:rFonts w:hint="eastAsia"/>
              </w:rPr>
              <w:t xml:space="preserve">行情</w:t>
            </w:r>
            <w:r>
              <w:t xml:space="preserve"> / </w:t>
            </w:r>
            <w:r>
              <w:rPr>
                <w:rFonts w:hint="eastAsia"/>
              </w:rPr>
              <w:t xml:space="preserve">异动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宏观跨资产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✔专题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✔数据发布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台日韩雷达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✔分类复核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事件日历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个股估值快照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✔(价格)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个股深度(假设)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✔轻更新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✔完整重跑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Excel模型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✔输入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✔假设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产业链(AI</w:t>
            </w:r>
            <w:r>
              <w:t xml:space="preserve"> </w:t>
            </w:r>
            <w:r>
              <w:rPr>
                <w:rFonts w:hint="eastAsia"/>
              </w:rPr>
              <w:t xml:space="preserve">Capex/HBM/光/电力)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✔云厂Capex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专题(Robotaxi/AI生产率)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✔重大法规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Prompt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重大升级</w:t>
            </w:r>
          </w:p>
        </w:tc>
      </w:tr>
    </w:tbl>
    <w:bookmarkEnd w:id="17"/>
    <w:bookmarkStart w:id="18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Scope gaps: private credit/AI financing, fiscal/Treasury supply, China, power prices, positioning feeds, component price feeds. Suggested adds: MSFT/GOOGL/AMZN/META/ORCL (capex source), VRT, GEV, ANET, LRCX, ASML. Radar is L1 theme + L2 technology/product; add L3 process/spec. Valuation upgrades: segment SOTP inputs, sector-appropriate primary methods, EPS bridge, guidance-credibility scoring, revision momentum. Excel: ~2,400 live formulas per model, recalculation verified against Python mirror. File-open tests shown above.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2026-10-17T00:01:19Z</dcterms:created>
  <dcterms:modified xsi:type="dcterms:W3CDTF">2026-10-17T00:01:19Z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