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6691d4d467354fa57740eec6d149daf3a288c9"/>
    <w:p>
      <w:pPr>
        <w:pStyle w:val="Heading1"/>
      </w:pPr>
      <w:r>
        <w:t xml:space="preserve">AVGO Broadcom Inc. 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v20261014-0758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2026-10-14 07:58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$357.31｜市值</w:t>
      </w:r>
      <w:r>
        <w:t xml:space="preserve"> 1,705.7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博通是’XPU/TPU替代GPU’趋势的核心受益者，加上Tomahawk/Jericho以太网与VMware现金流；高客户集中度意味着单一客户项目变动影响巨大。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Custom AI ASIC + networking + infrastructure software </w:t>
      </w:r>
      <w:r>
        <w:rPr>
          <w:rFonts w:hint="eastAsia"/>
        </w:rPr>
        <w:t xml:space="preserve">定制AI芯片+网络+软件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AI semiconductors (XPU+networking) </w:t>
      </w:r>
      <w:r>
        <w:rPr>
          <w:rFonts w:hint="eastAsia"/>
        </w:rPr>
        <w:t xml:space="preserve">AI半导体；Non-AI</w:t>
      </w:r>
      <w:r>
        <w:t xml:space="preserve"> semis </w:t>
      </w:r>
      <w:r>
        <w:rPr>
          <w:rFonts w:hint="eastAsia"/>
        </w:rPr>
        <w:t xml:space="preserve">非AI半导体；Infrastructure</w:t>
      </w:r>
      <w:r>
        <w:t xml:space="preserve">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24.0 bn </w:t>
      </w:r>
      <w:r>
        <w:rPr>
          <w:rFonts w:hint="eastAsia"/>
        </w:rPr>
        <w:t xml:space="preserve">USD；总负债</w:t>
      </w:r>
      <w:r>
        <w:t xml:space="preserve"> 59.4 bn </w:t>
      </w:r>
      <w:r>
        <w:rPr>
          <w:rFonts w:hint="eastAsia"/>
        </w:rPr>
        <w:t xml:space="preserve">USD；净现金</w:t>
      </w:r>
      <w:r>
        <w:t xml:space="preserve"> -35.4 bn USD。TTM FCF 39.4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44.2%）。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2026-12-10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3.82768（40位分析师）；收入一致预期</w:t>
      </w:r>
      <w:r>
        <w:t xml:space="preserve"> 34.9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$159.49</w:t>
            </w:r>
          </w:p>
        </w:tc>
        <w:tc>
          <w:tcPr/>
          <w:p>
            <w:pPr>
              <w:pStyle w:val="Compact"/>
            </w:pPr>
            <w:r>
              <w:t xml:space="preserve">-55.4%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$404.04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$705.07</w:t>
            </w:r>
          </w:p>
        </w:tc>
        <w:tc>
          <w:tcPr/>
          <w:p>
            <w:pPr>
              <w:pStyle w:val="Compact"/>
            </w:pPr>
            <w:r>
              <w:t xml:space="preserve">97.3%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$169.39</w:t>
            </w:r>
          </w:p>
        </w:tc>
        <w:tc>
          <w:tcPr/>
          <w:p>
            <w:pPr>
              <w:pStyle w:val="Compact"/>
            </w:pPr>
            <w:r>
              <w:t xml:space="preserve">-52.6%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$490.49</w:t>
            </w:r>
          </w:p>
        </w:tc>
        <w:tc>
          <w:tcPr/>
          <w:p>
            <w:pPr>
              <w:pStyle w:val="Compact"/>
            </w:pPr>
            <w:r>
              <w:t xml:space="preserve">37.3%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$918.78</w:t>
            </w:r>
          </w:p>
        </w:tc>
        <w:tc>
          <w:tcPr/>
          <w:p>
            <w:pPr>
              <w:pStyle w:val="Compact"/>
            </w:pPr>
            <w:r>
              <w:t xml:space="preserve">157.1%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$179.73</w:t>
            </w:r>
          </w:p>
        </w:tc>
        <w:tc>
          <w:tcPr/>
          <w:p>
            <w:pPr>
              <w:pStyle w:val="Compact"/>
            </w:pPr>
            <w:r>
              <w:t xml:space="preserve">-49.7%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$594.93</w:t>
            </w:r>
          </w:p>
        </w:tc>
        <w:tc>
          <w:tcPr/>
          <w:p>
            <w:pPr>
              <w:pStyle w:val="Compact"/>
            </w:pPr>
            <w:r>
              <w:t xml:space="preserve">66.5%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$1,196.06</w:t>
            </w:r>
          </w:p>
        </w:tc>
        <w:tc>
          <w:tcPr/>
          <w:p>
            <w:pPr>
              <w:pStyle w:val="Compact"/>
            </w:pPr>
            <w:r>
              <w:t xml:space="preserve">234.7%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$190.52</w:t>
            </w:r>
          </w:p>
        </w:tc>
        <w:tc>
          <w:tcPr/>
          <w:p>
            <w:pPr>
              <w:pStyle w:val="Compact"/>
            </w:pPr>
            <w:r>
              <w:t xml:space="preserve">-46.7%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$721.12</w:t>
            </w:r>
          </w:p>
        </w:tc>
        <w:tc>
          <w:tcPr/>
          <w:p>
            <w:pPr>
              <w:pStyle w:val="Compact"/>
            </w:pPr>
            <w:r>
              <w:t xml:space="preserve">101.8%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$1,555.80</w:t>
            </w:r>
          </w:p>
        </w:tc>
        <w:tc>
          <w:tcPr/>
          <w:p>
            <w:pPr>
              <w:pStyle w:val="Compact"/>
            </w:pPr>
            <w:r>
              <w:t xml:space="preserve">335.4%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20.9x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16.3x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12.7x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9.9x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$178.65</w:t>
            </w:r>
          </w:p>
        </w:tc>
        <w:tc>
          <w:tcPr/>
          <w:p>
            <w:pPr>
              <w:pStyle w:val="Compact"/>
            </w:pPr>
            <w:r>
              <w:t xml:space="preserve">-50.0%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$772.22</w:t>
            </w:r>
          </w:p>
        </w:tc>
        <w:tc>
          <w:tcPr/>
          <w:p>
            <w:pPr>
              <w:pStyle w:val="Compact"/>
            </w:pPr>
            <w:r>
              <w:t xml:space="preserve">116.1%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$1,821.30</w:t>
            </w:r>
          </w:p>
        </w:tc>
        <w:tc>
          <w:tcPr/>
          <w:p>
            <w:pPr>
              <w:pStyle w:val="Compact"/>
            </w:pPr>
            <w:r>
              <w:t xml:space="preserve">409.7%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$886.10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148.0%）。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3,721.8 bn </w:t>
      </w:r>
      <w:r>
        <w:rPr>
          <w:rFonts w:hint="eastAsia"/>
        </w:rPr>
        <w:t xml:space="preserve">USD；终值占比</w:t>
      </w:r>
      <w:r>
        <w:t xml:space="preserve"> 57.0%。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41.2%</w:t>
      </w:r>
      <w:r>
        <w:rPr>
          <w:rFonts w:hint="eastAsia"/>
        </w:rPr>
        <w:t xml:space="preserve">；一致预期FY+1增速</w:t>
      </w:r>
      <w:r>
        <w:t xml:space="preserve"> 64.1%。</w:t>
      </w:r>
    </w:p>
    <w:p>
      <w:pPr>
        <w:numPr>
          <w:ilvl w:val="0"/>
          <w:numId w:val="1005"/>
        </w:numPr>
      </w:pPr>
      <w:r>
        <w:t xml:space="preserve">WACC (CAPM) = rf 5.2% + β 1.48 × ERP 5.0% = 12.6%。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AVGO | 1,705.7 bn USD | 19.5x | 18.4x | 85.5% | 75.5% | 2.3% |</w:t>
      </w:r>
      <w:r>
        <w:t xml:space="preserve"> </w:t>
      </w:r>
      <w:r>
        <w:t xml:space="preserve">| MRVL | 241.5 bn USD | 25.1x | 36.9x | 36.5% | 52.2% | 1.0% |</w:t>
      </w:r>
      <w:r>
        <w:t xml:space="preserve"> </w:t>
      </w:r>
      <w:r>
        <w:t xml:space="preserve">| NVDA | 5,518.1 bn USD | 18.1x | 14.4x | 105.9% | 74.7% | 0.8% |</w:t>
      </w:r>
      <w:r>
        <w:t xml:space="preserve"> </w:t>
      </w:r>
      <w:r>
        <w:t xml:space="preserve">| ANET | 257.9 bn USD | 23.2x | 39.2x | 37.7% | 63.0% | 1.5% |</w:t>
      </w:r>
      <w:r>
        <w:t xml:space="preserve"> </w:t>
      </w:r>
      <w:r>
        <w:t xml:space="preserve">| QCOM | 188.9 bn USD | 4.4x | 17.3x | -4.0% | 54.2% | 5.4%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357.3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2026-10-14T07:58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1.706e+12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2.398e+10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5.942e+10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8.91e+10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2026-10-14T07:58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3.94e+10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‘2026-07-31’</w:t>
            </w:r>
            <w:r>
              <w:t xml:space="preserve">,</w:t>
            </w:r>
            <w:r>
              <w:t xml:space="preserve"> </w:t>
            </w:r>
            <w:r>
              <w:t xml:space="preserve">‘2026-04-30’</w:t>
            </w:r>
            <w:r>
              <w:t xml:space="preserve">,</w:t>
            </w:r>
            <w:r>
              <w:t xml:space="preserve"> </w:t>
            </w:r>
            <w:r>
              <w:t xml:space="preserve">‘2026-01-31’</w:t>
            </w:r>
            <w:r>
              <w:t xml:space="preserve">,</w:t>
            </w:r>
            <w:r>
              <w:t xml:space="preserve"> </w:t>
            </w:r>
            <w:r>
              <w:t xml:space="preserve">‘2025-10-31’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1.476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0.0524</w:t>
            </w:r>
          </w:p>
        </w:tc>
        <w:tc>
          <w:tcPr/>
          <w:p>
            <w:pPr>
              <w:pStyle w:val="Compact"/>
            </w:pPr>
            <w:r>
              <w:t xml:space="preserve">FRED DGS10 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0.6588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0.6413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1.48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0.6413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0.4422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AVGO_model_v20261014-0758.xlsx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data/snapshots/20261014-0758</w:t>
      </w:r>
      <w:r>
        <w:t xml:space="preserve"> </w:t>
      </w:r>
      <w:r>
        <w:t xml:space="preserve">(immutable) | Fetched 2026-10-14 07:58 SGT | Generated 2026-10-14 07:59 SGT</w:t>
      </w:r>
    </w:p>
    <w:p>
      <w:pPr>
        <w:pStyle w:val="Compact"/>
        <w:numPr>
          <w:ilvl w:val="0"/>
          <w:numId w:val="1007"/>
        </w:numPr>
      </w:pPr>
      <w:r>
        <w:t xml:space="preserve">Version: v20261014-0758.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v20261014-0758: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2026-12-10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AVG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AVG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AVG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AVG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AVG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b416d70b5a440943c9309996726e3dbf464ba33"/>
    <w:p>
      <w:pPr>
        <w:pStyle w:val="Heading1"/>
      </w:pPr>
      <w:r>
        <w:t xml:space="preserve">AVGO Broadcom Inc. — Equity Deep Dive (Professional English) v20261014-0758</w:t>
      </w:r>
    </w:p>
    <w:p>
      <w:pPr>
        <w:pStyle w:val="BlockText"/>
      </w:pPr>
      <w:r>
        <w:t xml:space="preserve">Data as of 2026-10-14 07:58 SGT | Price $357.31 | Mkt cap 1,705.7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Broadcom is the core beneficiary of the XPU/TPU-vs-GPU substitution trend, plus Tomahawk/Jericho Ethernet and VMware cash flow; high customer concentration means single-program shifts matter a lot.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Multiple XPU customers in volume; Ethernet scale-up/out wins; software </w:t>
      </w:r>
      <w:r>
        <w:rPr>
          <w:rFonts w:hint="eastAsia"/>
        </w:rPr>
        <w:t xml:space="preserve">stable｜多XPU客户放量；以太网胜出；软件稳定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|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Broadcom Inc. designs, develops, and supplies various semiconductor devices and infrastructure software solutions internationally. The company operates in two segments: Semiconductor Solutions and Infrastructure Software. The company offers networking connectivity, such as custom silicon solutions, ethernet switching &amp; routing, ethernet NIC controllers, physical layer devices, and fiber optic components; wireless device connectivity, including RF semiconductor devices, connectivity solutions, custom touch controllers, and inductive charging ASICS; servers and storage system solutions, such as PCIE switches, SAS &amp; raid products, fibre channel products, and HDD &amp; SSD solutions; broadband solutions, includes set-top box, and broadband access; and industrial. The company also offers a private cloud software portfolio, including the VMware Cloud Foundation, Edge, vSphere foundation, telco clo</w:t>
      </w:r>
    </w:p>
    <w:p>
      <w:pPr>
        <w:pStyle w:val="Compact"/>
        <w:numPr>
          <w:ilvl w:val="0"/>
          <w:numId w:val="1010"/>
        </w:numPr>
      </w:pPr>
      <w:r>
        <w:t xml:space="preserve">Customers: Google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(N3/N2, CoWoS), HBM vendors, substrate </w:t>
      </w:r>
      <w:r>
        <w:rPr>
          <w:rFonts w:hint="eastAsia"/>
        </w:rPr>
        <w:t xml:space="preserve">makers｜台积电、HBM、载板</w:t>
      </w:r>
    </w:p>
    <w:p>
      <w:pPr>
        <w:pStyle w:val="Compact"/>
        <w:numPr>
          <w:ilvl w:val="0"/>
          <w:numId w:val="1011"/>
        </w:numPr>
      </w:pPr>
      <w:r>
        <w:t xml:space="preserve">Competitors: NVDA, Marvell, Alchip/GUC/MediaTek (ASIC), Arista/Cisco </w:t>
      </w:r>
      <w:r>
        <w:rPr>
          <w:rFonts w:hint="eastAsia"/>
        </w:rPr>
        <w:t xml:space="preserve">(switching)｜NVDA、Marvell、世芯/创意/联发科、Arista/思科</w:t>
      </w:r>
    </w:p>
    <w:p>
      <w:pPr>
        <w:pStyle w:val="Compact"/>
        <w:numPr>
          <w:ilvl w:val="0"/>
          <w:numId w:val="1011"/>
        </w:numPr>
      </w:pPr>
      <w:r>
        <w:t xml:space="preserve">Bottlenecks/regulation: CoWoS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11"/>
        </w:numPr>
      </w:pPr>
      <w:r>
        <w:t xml:space="preserve">KPIs: AI revenue, XPU customers count, software revenue, FCF, net </w:t>
      </w:r>
      <w:r>
        <w:rPr>
          <w:rFonts w:hint="eastAsia"/>
        </w:rPr>
        <w:t xml:space="preserve">debt｜AI收入、XPU客户数、软件收入、FCF、净负债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29.6 bn USD</w:t>
            </w:r>
          </w:p>
        </w:tc>
        <w:tc>
          <w:tcPr/>
          <w:p>
            <w:pPr>
              <w:pStyle w:val="Compact"/>
            </w:pPr>
            <w:r>
              <w:t xml:space="preserve">20.5 bn USD</w:t>
            </w:r>
          </w:p>
        </w:tc>
        <w:tc>
          <w:tcPr/>
          <w:p>
            <w:pPr>
              <w:pStyle w:val="Compact"/>
            </w:pPr>
            <w:r>
              <w:t xml:space="preserve">16.1 bn USD</w:t>
            </w:r>
          </w:p>
        </w:tc>
        <w:tc>
          <w:tcPr/>
          <w:p>
            <w:pPr>
              <w:pStyle w:val="Compact"/>
            </w:pPr>
            <w:r>
              <w:t xml:space="preserve">13.1 bn USD</w:t>
            </w:r>
          </w:p>
        </w:tc>
        <w:tc>
          <w:tcPr/>
          <w:p>
            <w:pPr>
              <w:pStyle w:val="Compact"/>
            </w:pPr>
            <w:r>
              <w:t xml:space="preserve">13.7 bn USD</w:t>
            </w:r>
          </w:p>
        </w:tc>
        <w:tc>
          <w:tcPr/>
          <w:p>
            <w:pPr>
              <w:pStyle w:val="Compac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22.2 bn USD</w:t>
            </w:r>
          </w:p>
        </w:tc>
        <w:tc>
          <w:tcPr/>
          <w:p>
            <w:pPr>
              <w:pStyle w:val="Compact"/>
            </w:pPr>
            <w:r>
              <w:t xml:space="preserve">15.4 bn USD</w:t>
            </w:r>
          </w:p>
        </w:tc>
        <w:tc>
          <w:tcPr/>
          <w:p>
            <w:pPr>
              <w:pStyle w:val="Compact"/>
            </w:pPr>
            <w:r>
              <w:t xml:space="preserve">10.9 bn USD</w:t>
            </w:r>
          </w:p>
        </w:tc>
        <w:tc>
          <w:tcPr/>
          <w:p>
            <w:pPr>
              <w:pStyle w:val="Compact"/>
            </w:pPr>
            <w:r>
              <w:t xml:space="preserve">9.3 bn USD</w:t>
            </w:r>
          </w:p>
        </w:tc>
        <w:tc>
          <w:tcPr/>
          <w:p>
            <w:pPr>
              <w:pStyle w:val="Compact"/>
            </w:pPr>
            <w:r>
              <w:t xml:space="preserve">10.3 bn USD</w:t>
            </w:r>
          </w:p>
        </w:tc>
        <w:tc>
          <w:tcPr/>
          <w:p>
            <w:pPr>
              <w:pStyle w:val="Compac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19.3 bn USD</w:t>
            </w:r>
          </w:p>
        </w:tc>
        <w:tc>
          <w:tcPr/>
          <w:p>
            <w:pPr>
              <w:pStyle w:val="Compact"/>
            </w:pPr>
            <w:r>
              <w:t xml:space="preserve">13.2 bn USD</w:t>
            </w:r>
          </w:p>
        </w:tc>
        <w:tc>
          <w:tcPr/>
          <w:p>
            <w:pPr>
              <w:pStyle w:val="Compact"/>
            </w:pPr>
            <w:r>
              <w:t xml:space="preserve">8.7 bn USD</w:t>
            </w:r>
          </w:p>
        </w:tc>
        <w:tc>
          <w:tcPr/>
          <w:p>
            <w:pPr>
              <w:pStyle w:val="Compact"/>
            </w:pPr>
            <w:r>
              <w:t xml:space="preserve">7.3 bn USD</w:t>
            </w:r>
          </w:p>
        </w:tc>
        <w:tc>
          <w:tcPr/>
          <w:p>
            <w:pPr>
              <w:pStyle w:val="Compact"/>
            </w:pPr>
            <w:r>
              <w:t xml:space="preserve">8.0 bn USD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18.0 bn USD</w:t>
            </w:r>
          </w:p>
        </w:tc>
        <w:tc>
          <w:tcPr/>
          <w:p>
            <w:pPr>
              <w:pStyle w:val="Compact"/>
            </w:pPr>
            <w:r>
              <w:t xml:space="preserve">12.2 bn USD</w:t>
            </w:r>
          </w:p>
        </w:tc>
        <w:tc>
          <w:tcPr/>
          <w:p>
            <w:pPr>
              <w:pStyle w:val="Compact"/>
            </w:pPr>
            <w:r>
              <w:t xml:space="preserve">7.7 bn USD</w:t>
            </w:r>
          </w:p>
        </w:tc>
        <w:tc>
          <w:tcPr/>
          <w:p>
            <w:pPr>
              <w:pStyle w:val="Compact"/>
            </w:pPr>
            <w:r>
              <w:t xml:space="preserve">8.5 bn USD</w:t>
            </w:r>
          </w:p>
        </w:tc>
        <w:tc>
          <w:tcPr/>
          <w:p>
            <w:pPr>
              <w:pStyle w:val="Compact"/>
            </w:pPr>
            <w:r>
              <w:t xml:space="preserve">7.5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t xml:space="preserve">16.0 bn USD</w:t>
            </w:r>
          </w:p>
        </w:tc>
        <w:tc>
          <w:tcPr/>
          <w:p>
            <w:pPr>
              <w:pStyle w:val="Compact"/>
            </w:pPr>
            <w:r>
              <w:t xml:space="preserve">10.7 bn USD</w:t>
            </w:r>
          </w:p>
        </w:tc>
        <w:tc>
          <w:tcPr/>
          <w:p>
            <w:pPr>
              <w:pStyle w:val="Compact"/>
            </w:pPr>
            <w:r>
              <w:t xml:space="preserve">6.1 bn USD</w:t>
            </w:r>
          </w:p>
        </w:tc>
        <w:tc>
          <w:tcPr/>
          <w:p>
            <w:pPr>
              <w:pStyle w:val="Compact"/>
            </w:pPr>
            <w:r>
              <w:t xml:space="preserve">4.1 bn USD</w:t>
            </w:r>
          </w:p>
        </w:tc>
        <w:tc>
          <w:tcPr/>
          <w:p>
            <w:pPr>
              <w:pStyle w:val="Compact"/>
            </w:pPr>
            <w:r>
              <w:t xml:space="preserve">7.0 bn USD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2025-01-31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24.0 bn USD; debt 59.4 bn USD; TTM FCF 39.4 bn USD (FCF margin 44.2%).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1.86817</w:t>
            </w:r>
          </w:p>
        </w:tc>
        <w:tc>
          <w:tcPr/>
          <w:p>
            <w:pPr>
              <w:pStyle w:val="Compact"/>
            </w:pPr>
            <w:r>
              <w:t xml:space="preserve">0.0438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2.02326</w:t>
            </w:r>
          </w:p>
        </w:tc>
        <w:tc>
          <w:tcPr/>
          <w:p>
            <w:pPr>
              <w:pStyle w:val="Compact"/>
            </w:pPr>
            <w:r>
              <w:t xml:space="preserve">0.013200001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2.39835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3.32</w:t>
            </w:r>
          </w:p>
        </w:tc>
        <w:tc>
          <w:tcPr/>
          <w:p>
            <w:pPr>
              <w:pStyle w:val="Compact"/>
            </w:pPr>
            <w:r>
              <w:t xml:space="preserve">3.238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2026-12-10</w:t>
      </w:r>
      <w:r>
        <w:t xml:space="preserve">; current-quarter EPS consensus 3.82768 (40 analysts); revenue consensus 34.9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$159.49</w:t>
            </w:r>
          </w:p>
        </w:tc>
        <w:tc>
          <w:tcPr/>
          <w:p>
            <w:pPr>
              <w:pStyle w:val="Compact"/>
            </w:pPr>
            <w:r>
              <w:t xml:space="preserve">-55.4%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$404.04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$705.07</w:t>
            </w:r>
          </w:p>
        </w:tc>
        <w:tc>
          <w:tcPr/>
          <w:p>
            <w:pPr>
              <w:pStyle w:val="Compact"/>
            </w:pPr>
            <w:r>
              <w:t xml:space="preserve">97.3%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$169.39</w:t>
            </w:r>
          </w:p>
        </w:tc>
        <w:tc>
          <w:tcPr/>
          <w:p>
            <w:pPr>
              <w:pStyle w:val="Compact"/>
            </w:pPr>
            <w:r>
              <w:t xml:space="preserve">-52.6%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$490.49</w:t>
            </w:r>
          </w:p>
        </w:tc>
        <w:tc>
          <w:tcPr/>
          <w:p>
            <w:pPr>
              <w:pStyle w:val="Compact"/>
            </w:pPr>
            <w:r>
              <w:t xml:space="preserve">37.3%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$918.78</w:t>
            </w:r>
          </w:p>
        </w:tc>
        <w:tc>
          <w:tcPr/>
          <w:p>
            <w:pPr>
              <w:pStyle w:val="Compact"/>
            </w:pPr>
            <w:r>
              <w:t xml:space="preserve">157.1%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$179.73</w:t>
            </w:r>
          </w:p>
        </w:tc>
        <w:tc>
          <w:tcPr/>
          <w:p>
            <w:pPr>
              <w:pStyle w:val="Compact"/>
            </w:pPr>
            <w:r>
              <w:t xml:space="preserve">-49.7%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$594.93</w:t>
            </w:r>
          </w:p>
        </w:tc>
        <w:tc>
          <w:tcPr/>
          <w:p>
            <w:pPr>
              <w:pStyle w:val="Compact"/>
            </w:pPr>
            <w:r>
              <w:t xml:space="preserve">66.5%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$1,196.06</w:t>
            </w:r>
          </w:p>
        </w:tc>
        <w:tc>
          <w:tcPr/>
          <w:p>
            <w:pPr>
              <w:pStyle w:val="Compact"/>
            </w:pPr>
            <w:r>
              <w:t xml:space="preserve">234.7%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$190.52</w:t>
            </w:r>
          </w:p>
        </w:tc>
        <w:tc>
          <w:tcPr/>
          <w:p>
            <w:pPr>
              <w:pStyle w:val="Compact"/>
            </w:pPr>
            <w:r>
              <w:t xml:space="preserve">-46.7%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$721.12</w:t>
            </w:r>
          </w:p>
        </w:tc>
        <w:tc>
          <w:tcPr/>
          <w:p>
            <w:pPr>
              <w:pStyle w:val="Compact"/>
            </w:pPr>
            <w:r>
              <w:t xml:space="preserve">101.8%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$1,555.80</w:t>
            </w:r>
          </w:p>
        </w:tc>
        <w:tc>
          <w:tcPr/>
          <w:p>
            <w:pPr>
              <w:pStyle w:val="Compact"/>
            </w:pPr>
            <w:r>
              <w:t xml:space="preserve">335.4%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20.9x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16.3x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12.7x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9.9x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36.0%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$178.65</w:t>
            </w:r>
          </w:p>
        </w:tc>
        <w:tc>
          <w:tcPr/>
          <w:p>
            <w:pPr>
              <w:pStyle w:val="Compact"/>
            </w:pPr>
            <w:r>
              <w:t xml:space="preserve">-50.0%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$772.22</w:t>
            </w:r>
          </w:p>
        </w:tc>
        <w:tc>
          <w:tcPr/>
          <w:p>
            <w:pPr>
              <w:pStyle w:val="Compact"/>
            </w:pPr>
            <w:r>
              <w:t xml:space="preserve">116.1%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$1,821.30</w:t>
            </w:r>
          </w:p>
        </w:tc>
        <w:tc>
          <w:tcPr/>
          <w:p>
            <w:pPr>
              <w:pStyle w:val="Compact"/>
            </w:pPr>
            <w:r>
              <w:t xml:space="preserve">409.7%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$886.10</w:t>
      </w:r>
      <w:r>
        <w:t xml:space="preserve"> </w:t>
      </w:r>
      <w:r>
        <w:t xml:space="preserve">(148.0%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3,721.8 bn USD; terminal share 57.0%.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41.2%</w:t>
      </w:r>
      <w:r>
        <w:t xml:space="preserve"> </w:t>
      </w:r>
      <w:r>
        <w:t xml:space="preserve">vs consensus FY+1 64.1%.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1.48 × ERP 5.0% = 12.6%.</w:t>
      </w:r>
    </w:p>
    <w:p>
      <w:pPr>
        <w:pStyle w:val="Compact"/>
        <w:numPr>
          <w:ilvl w:val="0"/>
          <w:numId w:val="1013"/>
        </w:numPr>
      </w:pPr>
      <w:r>
        <w:t xml:space="preserve">SOTP segments: AI semiconductors (XPU+networking) </w:t>
      </w:r>
      <w:r>
        <w:rPr>
          <w:rFonts w:hint="eastAsia"/>
        </w:rPr>
        <w:t xml:space="preserve">AI半导体;</w:t>
      </w:r>
      <w:r>
        <w:t xml:space="preserve"> Non-AI semis </w:t>
      </w:r>
      <w:r>
        <w:rPr>
          <w:rFonts w:hint="eastAsia"/>
        </w:rPr>
        <w:t xml:space="preserve">非AI半导体;</w:t>
      </w:r>
      <w:r>
        <w:t xml:space="preserve"> Infrastructure software (VMware) </w:t>
      </w:r>
      <w:r>
        <w:rPr>
          <w:rFonts w:hint="eastAsia"/>
        </w:rPr>
        <w:t xml:space="preserve">基础软件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|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AVGO_model_v20261014-0758.xlsx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data/snapshots/20261014-0758</w:t>
      </w:r>
      <w:r>
        <w:t xml:space="preserve"> </w:t>
      </w:r>
      <w:r>
        <w:t xml:space="preserve">(immutable) | Fetched 2026-10-14 07:58 SGT | Generated 2026-10-14 07:59 SGT</w:t>
      </w:r>
      <w:r>
        <w:t xml:space="preserve"> </w:t>
      </w:r>
      <w:r>
        <w:t xml:space="preserve">- Version: v20261014-0758.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2026-10-13T23:59:43Z</dcterms:created>
  <dcterms:modified xsi:type="dcterms:W3CDTF">2026-10-13T23:59:43Z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