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d-初学者教学版-中文-v20261014-0758"/>
    <w:p>
      <w:pPr>
        <w:pStyle w:val="Heading1"/>
      </w:pPr>
      <w:r>
        <w:t xml:space="preserve">CRWD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CrowdStrike Holdings, Inc. </w:t>
      </w:r>
      <w:r>
        <w:rPr>
          <w:rFonts w:hint="eastAsia"/>
        </w:rPr>
        <w:t xml:space="preserve">是一家</w:t>
      </w:r>
      <w:r>
        <w:t xml:space="preserve"> 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$261.21。我们的Base模型认为每股价值约</w:t>
      </w:r>
      <w:r>
        <w:t xml:space="preserve"> </w:t>
      </w:r>
      <w:r>
        <w:rPr>
          <w:rFonts w:hint="eastAsia"/>
        </w:rPr>
        <w:t xml:space="preserve">$49（-81.3%）。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5.4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22.6%；m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32.0%；W</w:t>
      </w:r>
      <w:r>
        <w:t xml:space="preserve"> = WACC = 11.2%。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28.2% </w:t>
      </w:r>
      <w:r>
        <w:rPr>
          <w:rFonts w:hint="eastAsia"/>
        </w:rPr>
        <w:t xml:space="preserve">向</w:t>
      </w:r>
      <w:r>
        <w:t xml:space="preserve"> 32.0% </w:t>
      </w:r>
      <w:r>
        <w:rPr>
          <w:rFonts w:hint="eastAsia"/>
        </w:rPr>
        <w:t xml:space="preserve">线性过渡）=</w:t>
      </w:r>
      <w:r>
        <w:t xml:space="preserve"> 1.9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45.8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32.0%、三情景。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22.6%；价格隐含增速</w:t>
      </w:r>
      <w:r>
        <w:t xml:space="preserve"> 73.6%。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$24 / Base $49 / Bull </w:t>
      </w:r>
      <w:r>
        <w:rPr>
          <w:rFonts w:hint="eastAsia"/>
        </w:rPr>
        <w:t xml:space="preserve">$79；概率加权</w:t>
      </w:r>
      <w:r>
        <w:t xml:space="preserve"> $50。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324dbc2ed2655208def3b3640d753f0deb3127"/>
    <w:p>
      <w:pPr>
        <w:pStyle w:val="Heading1"/>
      </w:pPr>
      <w:r>
        <w:t xml:space="preserve">CRWD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CrowdStrike Holdings, Inc. is a Cybersecurity platform </w:t>
      </w:r>
      <w:r>
        <w:rPr>
          <w:rFonts w:hint="eastAsia"/>
        </w:rPr>
        <w:t xml:space="preserve">网络安全平台</w:t>
      </w:r>
      <w:r>
        <w:t xml:space="preserve"> company. Price $261.21; our Base model value ≈ $49 (-81.3%).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5.4 bn USD; g₁ = 22.6%; m = long-run FCF margin = 32.0%; W = 11.2%.</w:t>
      </w:r>
      <w:r>
        <w:t xml:space="preserve"> </w:t>
      </w:r>
      <w:r>
        <w:t xml:space="preserve">R₁ = R₀×(1+g₁) = 6.6 bn USD; FCF₁ = 1.9 bn USD; PV = FCF₁/(1+W) = 1.7 bn USD; 10 years + terminal → EV 45.8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22.6%; price-implied growth 73.6%.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$24 / Base $49 / Bull $79; weighted $50.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— Falsifiers: Net new ARR declines y/y; gross retention </w:t>
      </w:r>
      <w:r>
        <w:rPr>
          <w:rFonts w:hint="eastAsia"/>
        </w:rPr>
        <w:t xml:space="preserve">slips｜净新增ARR同比下降；毛留存下滑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2026-10-14T00:00:08Z</dcterms:created>
  <dcterms:modified xsi:type="dcterms:W3CDTF">2026-10-14T00:00:08Z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