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6f9ba4de8497c16ca8a7ab3b5167252bb604bae"/>
    <w:p>
      <w:pPr>
        <w:pStyle w:val="Heading1"/>
      </w:pPr>
      <w:r>
        <w:t xml:space="preserve">MRVL Marvell Technology, Inc. 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v2.1）v20261014-0758-think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2026-10-14 07:58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v20261014-0758（同一快照，未改动）｜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Marvell Technology, Inc. 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$268.73；距</w:t>
      </w:r>
      <w:r>
        <w:t xml:space="preserve"> 2026-06-04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-15.9%。主题：Custom</w:t>
      </w:r>
      <w:r>
        <w:t xml:space="preserve"> ASIC + electro-optics </w:t>
      </w:r>
      <w:r>
        <w:rPr>
          <w:rFonts w:hint="eastAsia"/>
        </w:rPr>
        <w:t xml:space="preserve">定制ASIC+光电DSP。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64.7%，一致预期</w:t>
      </w:r>
      <w:r>
        <w:t xml:space="preserve"> </w:t>
      </w:r>
      <w:r>
        <w:rPr>
          <w:rFonts w:hint="eastAsia"/>
        </w:rPr>
        <w:t xml:space="preserve">63.1%；三情景价值</w:t>
      </w:r>
      <w:r>
        <w:t xml:space="preserve"> $60/$255/$595。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2026-12-02（TENTATIVE</w:t>
      </w:r>
      <w:r>
        <w:t xml:space="preserve"> </w:t>
      </w:r>
      <w:r>
        <w:rPr>
          <w:rFonts w:hint="eastAsia"/>
        </w:rPr>
        <w:t xml:space="preserve">直至公司确认）；盯：DC收入、定制收入、光DSP收入、毛利率。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v20261014-0758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Custom ASIC + electro-optics </w:t>
      </w:r>
      <w:r>
        <w:rPr>
          <w:rFonts w:hint="eastAsia"/>
        </w:rPr>
        <w:t xml:space="preserve">定制ASIC+光电DSP。持有者在乎的是：Marvell受益于AI光互连(PAM4</w:t>
      </w:r>
      <w:r>
        <w:t xml:space="preserve"> </w:t>
      </w:r>
      <w:r>
        <w:rPr>
          <w:rFonts w:hint="eastAsia"/>
        </w:rPr>
        <w:t xml:space="preserve">DSP)与定制XPU；争议点在定制项目的代际延续性及光DSP是否被CPO侵蚀。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64.7%，一致预期</w:t>
      </w:r>
      <w:r>
        <w:t xml:space="preserve"> </w:t>
      </w:r>
      <w:r>
        <w:rPr>
          <w:rFonts w:hint="eastAsia"/>
        </w:rPr>
        <w:t xml:space="preserve">63.1%——市场定价比分析师更乐观。跑率/静态</w:t>
      </w:r>
      <w:r>
        <w:t xml:space="preserve"> P/E </w:t>
      </w:r>
      <w:r>
        <w:rPr>
          <w:rFonts w:hint="eastAsia"/>
        </w:rPr>
        <w:t xml:space="preserve">88.4×、前瞻</w:t>
      </w:r>
      <w:r>
        <w:t xml:space="preserve"> P/E </w:t>
      </w:r>
      <w:r>
        <w:rPr>
          <w:rFonts w:hint="eastAsia"/>
        </w:rPr>
        <w:t xml:space="preserve">36.9×（Yahoo）。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36.5%）→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53.1%）→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断点：Custom</w:t>
      </w:r>
      <w:r>
        <w:t xml:space="preserve"> program wins/losses, PAM4 DSP vs LPO/CPO </w:t>
      </w:r>
      <w:r>
        <w:rPr>
          <w:rFonts w:hint="eastAsia"/>
        </w:rPr>
        <w:t xml:space="preserve">substitution｜定制项目得失、DSP被LPO/CPO替代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DC revenue guide flat-to-down; customer disclosures of competitor </w:t>
      </w:r>
      <w:r>
        <w:rPr>
          <w:rFonts w:hint="eastAsia"/>
        </w:rPr>
        <w:t xml:space="preserve">sockets｜DC收入指引持平或下降；客户披露换供应商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折现。MRVL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13.2%；最新季度毛利率</w:t>
      </w:r>
      <w:r>
        <w:t xml:space="preserve"> </w:t>
      </w:r>
      <w:r>
        <w:rPr>
          <w:rFonts w:hint="eastAsia"/>
        </w:rPr>
        <w:t xml:space="preserve">53.1%；收入同比</w:t>
      </w:r>
      <w:r>
        <w:t xml:space="preserve"> </w:t>
      </w:r>
      <w:r>
        <w:rPr>
          <w:rFonts w:hint="eastAsia"/>
        </w:rPr>
        <w:t xml:space="preserve">36.5%。新闻多数改变的是现金流预期，而非折现率。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竞争者：Broadcom,</w:t>
      </w:r>
      <w:r>
        <w:t xml:space="preserve"> Alchip, MediaTek, Credo (AECs), Inphi-legacy </w:t>
      </w:r>
      <w:r>
        <w:rPr>
          <w:rFonts w:hint="eastAsia"/>
        </w:rPr>
        <w:t xml:space="preserve">rivals｜博通、世芯、联发科、Credo。客户：AWS</w:t>
      </w:r>
      <w:r>
        <w:t xml:space="preserve"> (Trainium), Microsoft (Maia), Google, hyperscaler optical module </w:t>
      </w:r>
      <w:r>
        <w:rPr>
          <w:rFonts w:hint="eastAsia"/>
        </w:rPr>
        <w:t xml:space="preserve">makers｜AWS、微软、谷歌、光模块厂。若</w:t>
      </w:r>
      <w:r>
        <w:t xml:space="preserve"> MRVL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看多会错，如果：Losing</w:t>
      </w:r>
      <w:r>
        <w:t xml:space="preserve"> socket to rival; LPO/CPO shrinks DSP </w:t>
      </w:r>
      <w:r>
        <w:rPr>
          <w:rFonts w:hint="eastAsia"/>
        </w:rPr>
        <w:t xml:space="preserve">TAM｜失去关键项目；LPO/CPO压缩DSP市场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64.7%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63.1%；近几季</w:t>
      </w:r>
      <w:r>
        <w:t xml:space="preserve"> EPS </w:t>
      </w:r>
      <w:r>
        <w:rPr>
          <w:rFonts w:hint="eastAsia"/>
        </w:rPr>
        <w:t xml:space="preserve">超预期：2025-10</w:t>
      </w:r>
      <w:r>
        <w:t xml:space="preserve"> +3% / 2026-01 +1% / 2026-04 +1% / 2026-07 +1%。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买方押：Next-gen</w:t>
      </w:r>
      <w:r>
        <w:t xml:space="preserve"> Trainium/Maia sockets retained; 1.6T DSP </w:t>
      </w:r>
      <w:r>
        <w:rPr>
          <w:rFonts w:hint="eastAsia"/>
        </w:rPr>
        <w:t xml:space="preserve">ramp｜下一代Trainium/Maia留住；1.6T</w:t>
      </w:r>
      <w:r>
        <w:t xml:space="preserve"> </w:t>
      </w:r>
      <w:r>
        <w:rPr>
          <w:rFonts w:hint="eastAsia"/>
        </w:rPr>
        <w:t xml:space="preserve">DSP放量。卖方押：Losing</w:t>
      </w:r>
      <w:r>
        <w:t xml:space="preserve"> socket to rival; LPO/CPO shrinks DSP </w:t>
      </w:r>
      <w:r>
        <w:rPr>
          <w:rFonts w:hint="eastAsia"/>
        </w:rPr>
        <w:t xml:space="preserve">TAM｜失去关键项目；LPO/CPO压缩DSP市场。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2008 </w:t>
      </w:r>
      <w:r>
        <w:rPr>
          <w:rFonts w:hint="eastAsia"/>
        </w:rPr>
        <w:t xml:space="preserve">年以来最大的三次回撤：2008-06→2008-11</w:t>
      </w:r>
      <w:r>
        <w:t xml:space="preserve"> </w:t>
      </w:r>
      <w:r>
        <w:rPr>
          <w:rFonts w:hint="eastAsia"/>
        </w:rPr>
        <w:t xml:space="preserve">-74%；2010-04→2012-12</w:t>
      </w:r>
      <w:r>
        <w:t xml:space="preserve"> </w:t>
      </w:r>
      <w:r>
        <w:rPr>
          <w:rFonts w:hint="eastAsia"/>
        </w:rPr>
        <w:t xml:space="preserve">-68%；2021-12→2023-01</w:t>
      </w:r>
      <w:r>
        <w:t xml:space="preserve"> </w:t>
      </w:r>
      <w:r>
        <w:rPr>
          <w:rFonts w:hint="eastAsia"/>
        </w:rPr>
        <w:t xml:space="preserve">-62%；中位数</w:t>
      </w:r>
      <w:r>
        <w:t xml:space="preserve"> </w:t>
      </w:r>
      <w:r>
        <w:rPr>
          <w:rFonts w:hint="eastAsia"/>
        </w:rPr>
        <w:t xml:space="preserve">-68%。当前距高点</w:t>
      </w:r>
      <w:r>
        <w:t xml:space="preserve"> </w:t>
      </w:r>
      <w:r>
        <w:rPr>
          <w:rFonts w:hint="eastAsia"/>
        </w:rPr>
        <w:t xml:space="preserve">-15.9%。毛利率区间：41.3%–53.1%（本快照内）。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Marvell受益于AI光互连(PAM4</w:t>
      </w:r>
      <w:r>
        <w:t xml:space="preserve"> </w:t>
      </w:r>
      <w:r>
        <w:rPr>
          <w:rFonts w:hint="eastAsia"/>
        </w:rPr>
        <w:t xml:space="preserve">DSP)与定制XPU；争议点在定制项目的代际延续性及光DSP是否被CPO侵蚀。（HYPOTHESIS）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Losing socket to rival; LPO/CPO shrinks DSP </w:t>
      </w:r>
      <w:r>
        <w:rPr>
          <w:rFonts w:hint="eastAsia"/>
        </w:rPr>
        <w:t xml:space="preserve">TAM｜失去关键项目；LPO/CPO压缩DSP市场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$268.73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$255 </w:t>
      </w:r>
      <w:r>
        <w:rPr>
          <w:rFonts w:hint="eastAsia"/>
        </w:rPr>
        <w:t xml:space="preserve">5.2%，安全边际取决于假设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2008-06→2008-11 </w:t>
      </w:r>
      <w:r>
        <w:rPr>
          <w:rFonts w:hint="eastAsia"/>
        </w:rPr>
        <w:t xml:space="preserve">-74%；2010-04→2012-12</w:t>
      </w:r>
      <w:r>
        <w:t xml:space="preserve"> </w:t>
      </w:r>
      <w:r>
        <w:rPr>
          <w:rFonts w:hint="eastAsia"/>
        </w:rPr>
        <w:t xml:space="preserve">-68%；2021-12→2023-01</w:t>
      </w:r>
      <w:r>
        <w:t xml:space="preserve"> -62%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$268.73 vs Base </w:t>
            </w:r>
            <w:r>
              <w:rPr>
                <w:rFonts w:hint="eastAsia"/>
              </w:rPr>
              <w:t xml:space="preserve">价值</w:t>
            </w:r>
            <w:r>
              <w:t xml:space="preserve"> $255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64.7% vs </w:t>
            </w:r>
            <w:r>
              <w:rPr>
                <w:rFonts w:hint="eastAsia"/>
              </w:rPr>
              <w:t xml:space="preserve">一致预期</w:t>
            </w:r>
            <w:r>
              <w:t xml:space="preserve"> 63.1%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50.4% → 53.1%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+1% → +1%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+36.5%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-15.9%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-68%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证据接近打平（加权</w:t>
      </w:r>
      <w:r>
        <w:t xml:space="preserve"> 6 : </w:t>
      </w:r>
      <w:r>
        <w:rPr>
          <w:rFonts w:hint="eastAsia"/>
        </w:rPr>
        <w:t xml:space="preserve">7）。这是对现有数据的机械称重，不是买卖结论；最该做的是盯住证伪清单。（我们的判断，可能出错）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64.7%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36.5%）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53.1%）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DC revenue, custom revenue, optical DSP revenue, </w:t>
            </w:r>
            <w:r>
              <w:rPr>
                <w:rFonts w:hint="eastAsia"/>
              </w:rPr>
              <w:t xml:space="preserve">GM%｜DC收入、定制收入、光DSP收入、毛利率</w:t>
            </w:r>
          </w:p>
        </w:tc>
        <w:tc>
          <w:tcPr/>
          <w:p>
            <w:pPr>
              <w:pStyle w:val="Compact"/>
            </w:pPr>
            <w:r>
              <w:t xml:space="preserve">DC revenue guide flat-to-down; customer disclosures of competitor </w:t>
            </w:r>
            <w:r>
              <w:rPr>
                <w:rFonts w:hint="eastAsia"/>
              </w:rPr>
              <w:t xml:space="preserve">sockets｜DC收入指引持平或下降；客户披露换供应商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13.2%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64.7%、共识</w:t>
      </w:r>
      <w:r>
        <w:t xml:space="preserve"> </w:t>
      </w:r>
      <w:r>
        <w:rPr>
          <w:rFonts w:hint="eastAsia"/>
        </w:rPr>
        <w:t xml:space="preserve">63.1%。如果公司下季’超预期’但只超共识不超隐含，股价可能怎样？为什么？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53.1%，区间</w:t>
      </w:r>
      <w:r>
        <w:t xml:space="preserve"> </w:t>
      </w:r>
      <w:r>
        <w:rPr>
          <w:rFonts w:hint="eastAsia"/>
        </w:rPr>
        <w:t xml:space="preserve">41.3%–53.1%。用’第一性原理’说明利润率下降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-68%，当前</w:t>
      </w:r>
      <w:r>
        <w:t xml:space="preserve"> </w:t>
      </w:r>
      <w:r>
        <w:rPr>
          <w:rFonts w:hint="eastAsia"/>
        </w:rPr>
        <w:t xml:space="preserve">-15.9%。为什么’已经跌了很多’不能单独作为买入理由？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2-02-财报后填写"/>
    <w:p>
      <w:pPr>
        <w:pStyle w:val="Heading2"/>
      </w:pPr>
      <w:r>
        <w:rPr>
          <w:rFonts w:hint="eastAsia"/>
        </w:rPr>
        <w:t xml:space="preserve">八、事后推理复盘（2026-12-02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MRVL thinking-first edition. Price $268.73; -15.9% from 2026-06-04 high. Reverse DCF: price implies ~64.7% Y1 growth vs consensus 63.1%. Scenario values $60/$255/$595; WACC 13.2%. Base rates: largest drawdowns since 2008: 2008-06→2008-11 </w:t>
      </w:r>
      <w:r>
        <w:rPr>
          <w:rFonts w:hint="eastAsia"/>
        </w:rPr>
        <w:t xml:space="preserve">-74%；2010-04→2012-12</w:t>
      </w:r>
      <w:r>
        <w:t xml:space="preserve"> </w:t>
      </w:r>
      <w:r>
        <w:rPr>
          <w:rFonts w:hint="eastAsia"/>
        </w:rPr>
        <w:t xml:space="preserve">-68%；2021-12→2023-01</w:t>
      </w:r>
      <w:r>
        <w:t xml:space="preserve"> -62%. Evidence weighting 6:7 (bull:bear). Falsifiers: DC revenue guide flat-to-down; customer disclosures of competitor </w:t>
      </w:r>
      <w:r>
        <w:rPr>
          <w:rFonts w:hint="eastAsia"/>
        </w:rPr>
        <w:t xml:space="preserve">sockets｜DC收入指引持平或下降；客户披露换供应商.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2026-10-14T00:03:55Z</dcterms:created>
  <dcterms:modified xsi:type="dcterms:W3CDTF">2026-10-14T00:03:55Z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