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5.png" ContentType="image/png"/>
  <Override PartName="/word/media/rId28.png" ContentType="image/png"/>
  <Override PartName="/word/media/rId31.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f7472580581dd7520cde7e326ea5688594072dd"/>
    <w:p>
      <w:pPr>
        <w:pStyle w:val="Heading1"/>
      </w:pPr>
      <w:r>
        <w:t xml:space="preserve">AMD Advanced Micro Devices, Inc. — </w:t>
      </w:r>
      <w:r>
        <w:rPr>
          <w:rFonts w:hint="eastAsia"/>
        </w:rPr>
        <w:t xml:space="preserve">个股深度研究</w:t>
      </w:r>
      <w:r>
        <w:t xml:space="preserve"> </w:t>
      </w:r>
      <w:r>
        <w:rPr>
          <w:rFonts w:hint="eastAsia"/>
        </w:rPr>
        <w:t xml:space="preserve">(专业中文版)</w:t>
      </w:r>
      <w:r>
        <w:t xml:space="preserve"> v20261015-0757</w:t>
      </w:r>
    </w:p>
    <w:p>
      <w:pPr>
        <w:pStyle w:val="BlockText"/>
      </w:pPr>
      <w:r>
        <w:rPr>
          <w:rFonts w:hint="eastAsia"/>
        </w:rPr>
        <w:t xml:space="preserve">数据截至</w:t>
      </w:r>
      <w:r>
        <w:t xml:space="preserve"> 2026-10-15 07:57 </w:t>
      </w:r>
      <w:r>
        <w:rPr>
          <w:rFonts w:hint="eastAsia"/>
        </w:rPr>
        <w:t xml:space="preserve">SGT｜价格</w:t>
      </w:r>
      <w:r>
        <w:t xml:space="preserve"> </w:t>
      </w:r>
      <w:r>
        <w:rPr>
          <w:rFonts w:hint="eastAsia"/>
        </w:rPr>
        <w:t xml:space="preserve">$570.82｜市值</w:t>
      </w:r>
      <w:r>
        <w:t xml:space="preserve"> 931.8 bn </w:t>
      </w:r>
      <w:r>
        <w:rPr>
          <w:rFonts w:hint="eastAsia"/>
        </w:rPr>
        <w:t xml:space="preserve">USD｜财报货币</w:t>
      </w:r>
      <w:r>
        <w:t xml:space="preserve"> </w:t>
      </w:r>
      <w:r>
        <w:rPr>
          <w:rFonts w:hint="eastAsia"/>
        </w:rPr>
        <w:t xml:space="preserve">USD｜非投资建议。事实=CONFIRMED/DATA；推断=INFERENCE；假设=ASSUMPTION/HYPOTHESIS。</w:t>
      </w:r>
    </w:p>
    <w:bookmarkStart w:id="9" w:name="投资论点-investment-thesis-hypothesis"/>
    <w:p>
      <w:pPr>
        <w:pStyle w:val="Heading2"/>
      </w:pPr>
      <w:r>
        <w:t xml:space="preserve">1. </w:t>
      </w:r>
      <w:r>
        <w:rPr>
          <w:rFonts w:hint="eastAsia"/>
        </w:rPr>
        <w:t xml:space="preserve">投资论点</w:t>
      </w:r>
      <w:r>
        <w:t xml:space="preserve"> Investment Thesis (HYPOTHESIS)</w:t>
      </w:r>
    </w:p>
    <w:p>
      <w:pPr>
        <w:pStyle w:val="FirstParagraph"/>
      </w:pPr>
      <w:r>
        <w:rPr>
          <w:rFonts w:hint="eastAsia"/>
        </w:rPr>
        <w:t xml:space="preserve">AMD在服务器CPU持续夺份额，并以MI400/Helios机架争夺AI</w:t>
      </w:r>
      <w:r>
        <w:t xml:space="preserve"> </w:t>
      </w:r>
      <w:r>
        <w:rPr>
          <w:rFonts w:hint="eastAsia"/>
        </w:rPr>
        <w:t xml:space="preserve">GPU第二供应商地位；OpenAI合作是验证点，执行风险高。</w:t>
      </w:r>
    </w:p>
    <w:p>
      <w:pPr>
        <w:pStyle w:val="Compact"/>
        <w:numPr>
          <w:ilvl w:val="0"/>
          <w:numId w:val="1001"/>
        </w:numPr>
      </w:pPr>
      <w:r>
        <w:rPr>
          <w:rFonts w:hint="eastAsia"/>
          <w:b/>
          <w:bCs/>
        </w:rPr>
        <w:t xml:space="preserve">多头驱动</w:t>
      </w:r>
      <w:r>
        <w:t xml:space="preserve">: MI450 ramps on time with multiple gigawatt </w:t>
      </w:r>
      <w:r>
        <w:rPr>
          <w:rFonts w:hint="eastAsia"/>
        </w:rPr>
        <w:t xml:space="preserve">customers｜MI450按期多客户放量</w:t>
      </w:r>
    </w:p>
    <w:p>
      <w:pPr>
        <w:pStyle w:val="Compact"/>
        <w:numPr>
          <w:ilvl w:val="0"/>
          <w:numId w:val="1001"/>
        </w:numPr>
      </w:pPr>
      <w:r>
        <w:rPr>
          <w:rFonts w:hint="eastAsia"/>
          <w:b/>
          <w:bCs/>
        </w:rPr>
        <w:t xml:space="preserve">空头驱动</w:t>
      </w:r>
      <w:r>
        <w:t xml:space="preserve">: Delays; NVDA price aggression; client PC slowdown from memory </w:t>
      </w:r>
      <w:r>
        <w:rPr>
          <w:rFonts w:hint="eastAsia"/>
        </w:rPr>
        <w:t xml:space="preserve">costs｜延期；NVDA压价；存储涨价拖累PC</w:t>
      </w:r>
    </w:p>
    <w:p>
      <w:pPr>
        <w:pStyle w:val="Compact"/>
        <w:numPr>
          <w:ilvl w:val="0"/>
          <w:numId w:val="1001"/>
        </w:numPr>
      </w:pPr>
      <w:r>
        <w:rPr>
          <w:rFonts w:hint="eastAsia"/>
          <w:b/>
          <w:bCs/>
        </w:rPr>
        <w:t xml:space="preserve">证伪条件</w:t>
      </w:r>
      <w:r>
        <w:rPr>
          <w:b/>
          <w:bCs/>
        </w:rPr>
        <w:t xml:space="preserve"> Falsifiers</w:t>
      </w:r>
      <w:r>
        <w:t xml:space="preserve">: DC GPU revenue below guide; Helios slips past </w:t>
      </w:r>
      <w:r>
        <w:rPr>
          <w:rFonts w:hint="eastAsia"/>
        </w:rPr>
        <w:t xml:space="preserve">2H26｜DC</w:t>
      </w:r>
      <w:r>
        <w:t xml:space="preserve"> </w:t>
      </w:r>
      <w:r>
        <w:rPr>
          <w:rFonts w:hint="eastAsia"/>
        </w:rPr>
        <w:t xml:space="preserve">GPU收入低于指引；Helios延后</w:t>
      </w:r>
    </w:p>
    <w:bookmarkEnd w:id="9"/>
    <w:bookmarkStart w:id="10" w:name="产品客户与收入模式"/>
    <w:p>
      <w:pPr>
        <w:pStyle w:val="Heading2"/>
      </w:pPr>
      <w:r>
        <w:t xml:space="preserve">2. </w:t>
      </w:r>
      <w:r>
        <w:rPr>
          <w:rFonts w:hint="eastAsia"/>
        </w:rPr>
        <w:t xml:space="preserve">产品、客户与收入模式</w:t>
      </w:r>
    </w:p>
    <w:p>
      <w:pPr>
        <w:pStyle w:val="Compact"/>
        <w:numPr>
          <w:ilvl w:val="0"/>
          <w:numId w:val="1002"/>
        </w:numPr>
      </w:pPr>
      <w:r>
        <w:rPr>
          <w:rFonts w:hint="eastAsia"/>
        </w:rPr>
        <w:t xml:space="preserve">主题</w:t>
      </w:r>
      <w:r>
        <w:t xml:space="preserve"> Theme: CPU + GPU AI accelerators CPU+AI GPU</w:t>
      </w:r>
    </w:p>
    <w:p>
      <w:pPr>
        <w:pStyle w:val="Compact"/>
        <w:numPr>
          <w:ilvl w:val="0"/>
          <w:numId w:val="1002"/>
        </w:numPr>
      </w:pPr>
      <w:r>
        <w:rPr>
          <w:rFonts w:hint="eastAsia"/>
        </w:rPr>
        <w:t xml:space="preserve">业务分部</w:t>
      </w:r>
      <w:r>
        <w:t xml:space="preserve"> Segments: Data Center (EPYC+Instinct) </w:t>
      </w:r>
      <w:r>
        <w:rPr>
          <w:rFonts w:hint="eastAsia"/>
        </w:rPr>
        <w:t xml:space="preserve">数据中心；Client</w:t>
      </w:r>
      <w:r>
        <w:t xml:space="preserve"> </w:t>
      </w:r>
      <w:r>
        <w:rPr>
          <w:rFonts w:hint="eastAsia"/>
        </w:rPr>
        <w:t xml:space="preserve">客户端；Gaming</w:t>
      </w:r>
      <w:r>
        <w:t xml:space="preserve"> </w:t>
      </w:r>
      <w:r>
        <w:rPr>
          <w:rFonts w:hint="eastAsia"/>
        </w:rPr>
        <w:t xml:space="preserve">游戏；Embedded</w:t>
      </w:r>
      <w:r>
        <w:t xml:space="preserve"> </w:t>
      </w:r>
      <w:r>
        <w:rPr>
          <w:rFonts w:hint="eastAsia"/>
        </w:rPr>
        <w:t xml:space="preserve">嵌入式</w:t>
      </w:r>
    </w:p>
    <w:p>
      <w:pPr>
        <w:pStyle w:val="Compact"/>
        <w:numPr>
          <w:ilvl w:val="0"/>
          <w:numId w:val="1002"/>
        </w:numPr>
      </w:pPr>
      <w:r>
        <w:rPr>
          <w:rFonts w:hint="eastAsia"/>
        </w:rPr>
        <w:t xml:space="preserve">公司描述</w:t>
      </w:r>
      <w:r>
        <w:t xml:space="preserve"> (DATA, </w:t>
      </w:r>
      <w:r>
        <w:rPr>
          <w:rFonts w:hint="eastAsia"/>
        </w:rPr>
        <w:t xml:space="preserve">Yahoo/公司申报):</w:t>
      </w:r>
      <w:r>
        <w:t xml:space="preserve"> Advanced Micro Devices, Inc. operates as a semiconductor company internationally. It operates in three segments: Data Center, Client and Gaming, and Embedded. The company offers artificial intelligence (AI) accelerators, microprocessors, and graphics processing units (GPUs) as standalone devices or as incorporated into accelerated processing units, chipsets, and data center and professional GPUs; and embedded processors and semi-custom system-on-chip (SoC) products, microprocessor and SoC development services and technology, data processing units, field programmable gate arrays (FPGA), system on modules, AI network interface cards, and adaptive SoC products. It provides processors under the AMD Ryzen, AMD Ryzen AI, AMD Ryzen PRO, AMD Ryzen Threadripper, AMD Ryzen Threadripper PRO, AMD Athlon, and AMD PRO A-Series brands; graphics under the AMD Radeon graphics and AMD Embedded Radeon grap</w:t>
      </w:r>
    </w:p>
    <w:p>
      <w:pPr>
        <w:pStyle w:val="Compact"/>
        <w:numPr>
          <w:ilvl w:val="0"/>
          <w:numId w:val="1002"/>
        </w:numPr>
      </w:pPr>
      <w:r>
        <w:rPr>
          <w:rFonts w:hint="eastAsia"/>
        </w:rPr>
        <w:t xml:space="preserve">主要客户:</w:t>
      </w:r>
      <w:r>
        <w:t xml:space="preserve"> Hyperscalers, OpenAI (MI450 deal), Oracle, Meta, PC </w:t>
      </w:r>
      <w:r>
        <w:rPr>
          <w:rFonts w:hint="eastAsia"/>
        </w:rPr>
        <w:t xml:space="preserve">OEMs｜云厂、OpenAI、甲骨文、Meta、PC厂</w:t>
      </w:r>
    </w:p>
    <w:bookmarkEnd w:id="10"/>
    <w:bookmarkStart w:id="11" w:name="行业竞争监管与供应链-analyst-framework"/>
    <w:p>
      <w:pPr>
        <w:pStyle w:val="Heading2"/>
      </w:pPr>
      <w:r>
        <w:t xml:space="preserve">3. </w:t>
      </w:r>
      <w:r>
        <w:rPr>
          <w:rFonts w:hint="eastAsia"/>
        </w:rPr>
        <w:t xml:space="preserve">行业、竞争、监管与供应链</w:t>
      </w:r>
      <w:r>
        <w:t xml:space="preserve"> (ANALYST FRAMEWORK)</w:t>
      </w:r>
    </w:p>
    <w:p>
      <w:pPr>
        <w:pStyle w:val="Compact"/>
        <w:numPr>
          <w:ilvl w:val="0"/>
          <w:numId w:val="1003"/>
        </w:numPr>
      </w:pPr>
      <w:r>
        <w:rPr>
          <w:rFonts w:hint="eastAsia"/>
        </w:rPr>
        <w:t xml:space="preserve">供应商/上游:</w:t>
      </w:r>
      <w:r>
        <w:t xml:space="preserve"> TSMC (N3/N2, CoWoS), HBM vendors, ZT Systems (rack </w:t>
      </w:r>
      <w:r>
        <w:rPr>
          <w:rFonts w:hint="eastAsia"/>
        </w:rPr>
        <w:t xml:space="preserve">design)｜台积电、HBM、ZT</w:t>
      </w:r>
      <w:r>
        <w:t xml:space="preserve"> Systems</w:t>
      </w:r>
    </w:p>
    <w:p>
      <w:pPr>
        <w:pStyle w:val="Compact"/>
        <w:numPr>
          <w:ilvl w:val="0"/>
          <w:numId w:val="1003"/>
        </w:numPr>
      </w:pPr>
      <w:r>
        <w:rPr>
          <w:rFonts w:hint="eastAsia"/>
        </w:rPr>
        <w:t xml:space="preserve">竞争者</w:t>
      </w:r>
      <w:r>
        <w:t xml:space="preserve"> </w:t>
      </w:r>
      <w:r>
        <w:rPr>
          <w:rFonts w:hint="eastAsia"/>
        </w:rPr>
        <w:t xml:space="preserve">(含业外):</w:t>
      </w:r>
      <w:r>
        <w:t xml:space="preserve"> NVDA, Intel, ARM-based CPUs, custom </w:t>
      </w:r>
      <w:r>
        <w:rPr>
          <w:rFonts w:hint="eastAsia"/>
        </w:rPr>
        <w:t xml:space="preserve">ASICs｜NVDA、英特尔、ARM</w:t>
      </w:r>
      <w:r>
        <w:t xml:space="preserve"> CPU、ASIC</w:t>
      </w:r>
    </w:p>
    <w:p>
      <w:pPr>
        <w:pStyle w:val="Compact"/>
        <w:numPr>
          <w:ilvl w:val="0"/>
          <w:numId w:val="1003"/>
        </w:numPr>
      </w:pPr>
      <w:r>
        <w:rPr>
          <w:rFonts w:hint="eastAsia"/>
        </w:rPr>
        <w:t xml:space="preserve">瓶颈/监管:</w:t>
      </w:r>
      <w:r>
        <w:t xml:space="preserve"> Rack-scale (Helios) execution, ROCm software maturity, CoWoS </w:t>
      </w:r>
      <w:r>
        <w:rPr>
          <w:rFonts w:hint="eastAsia"/>
        </w:rPr>
        <w:t xml:space="preserve">supply｜机架级Helios执行、ROCm软件、CoWoS</w:t>
      </w:r>
    </w:p>
    <w:p>
      <w:pPr>
        <w:pStyle w:val="Compact"/>
        <w:numPr>
          <w:ilvl w:val="0"/>
          <w:numId w:val="1003"/>
        </w:numPr>
      </w:pPr>
      <w:r>
        <w:rPr>
          <w:rFonts w:hint="eastAsia"/>
        </w:rPr>
        <w:t xml:space="preserve">关键KPI:</w:t>
      </w:r>
      <w:r>
        <w:t xml:space="preserve"> DC revenue, Instinct revenue, server CPU share, </w:t>
      </w:r>
      <w:r>
        <w:rPr>
          <w:rFonts w:hint="eastAsia"/>
        </w:rPr>
        <w:t xml:space="preserve">GM%｜DC收入、Instinct收入、服务器份额、毛利率</w:t>
      </w:r>
    </w:p>
    <w:p>
      <w:pPr>
        <w:pStyle w:val="Compact"/>
        <w:numPr>
          <w:ilvl w:val="0"/>
          <w:numId w:val="1003"/>
        </w:numPr>
      </w:pPr>
      <w:r>
        <w:rPr>
          <w:rFonts w:hint="eastAsia"/>
        </w:rPr>
        <w:t xml:space="preserve">零部件现货/合约价:</w:t>
      </w:r>
      <w:r>
        <w:t xml:space="preserve"> </w:t>
      </w:r>
      <w:r>
        <w:rPr>
          <w:rFonts w:hint="eastAsia"/>
        </w:rPr>
        <w:t xml:space="preserve">本版未接入付费价格源(TrendForce/DRAMeXchange等)——标注</w:t>
      </w:r>
      <w:r>
        <w:t xml:space="preserve"> </w:t>
      </w:r>
      <w:r>
        <w:rPr>
          <w:b/>
          <w:bCs/>
        </w:rPr>
        <w:t xml:space="preserve">UNAVAILABLE</w:t>
      </w:r>
      <w:r>
        <w:rPr>
          <w:rFonts w:hint="eastAsia"/>
        </w:rPr>
        <w:t xml:space="preserve">，在KPI监控中以定性方式跟踪。</w:t>
      </w:r>
    </w:p>
    <w:bookmarkEnd w:id="11"/>
    <w:bookmarkStart w:id="12" w:name="历史财务与现金流-confirmed-季度-usd"/>
    <w:p>
      <w:pPr>
        <w:pStyle w:val="Heading2"/>
      </w:pPr>
      <w:r>
        <w:t xml:space="preserve">4. </w:t>
      </w:r>
      <w:r>
        <w:rPr>
          <w:rFonts w:hint="eastAsia"/>
        </w:rPr>
        <w:t xml:space="preserve">历史财务与现金流</w:t>
      </w:r>
      <w:r>
        <w:t xml:space="preserve"> (CONFIRMED, </w:t>
      </w:r>
      <w:r>
        <w:rPr>
          <w:rFonts w:hint="eastAsia"/>
        </w:rPr>
        <w:t xml:space="preserve">季度,</w:t>
      </w:r>
      <w:r>
        <w:t xml:space="preserve">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rFonts w:hint="eastAsia"/>
              </w:rPr>
              <w:t xml:space="preserve">季度</w:t>
            </w:r>
          </w:p>
        </w:tc>
        <w:tc>
          <w:tcPr/>
          <w:p>
            <w:pPr>
              <w:pStyle w:val="Compact"/>
            </w:pPr>
            <w:r>
              <w:rPr>
                <w:rFonts w:hint="eastAsia"/>
              </w:rPr>
              <w:t xml:space="preserve">收入</w:t>
            </w:r>
          </w:p>
        </w:tc>
        <w:tc>
          <w:tcPr/>
          <w:p>
            <w:pPr>
              <w:pStyle w:val="Compact"/>
            </w:pPr>
            <w:r>
              <w:rPr>
                <w:rFonts w:hint="eastAsia"/>
              </w:rPr>
              <w:t xml:space="preserve">毛利</w:t>
            </w:r>
          </w:p>
        </w:tc>
        <w:tc>
          <w:tcPr/>
          <w:p>
            <w:pPr>
              <w:pStyle w:val="Compact"/>
            </w:pPr>
            <w:r>
              <w:rPr>
                <w:rFonts w:hint="eastAsia"/>
              </w:rPr>
              <w:t xml:space="preserve">营业利润</w:t>
            </w:r>
          </w:p>
        </w:tc>
        <w:tc>
          <w:tcPr/>
          <w:p>
            <w:pPr>
              <w:pStyle w:val="Compact"/>
            </w:pPr>
            <w:r>
              <w:rPr>
                <w:rFonts w:hint="eastAsia"/>
              </w:rPr>
              <w:t xml:space="preserve">净利润</w:t>
            </w:r>
          </w:p>
        </w:tc>
        <w:tc>
          <w:tcPr/>
          <w:p>
            <w:pPr>
              <w:pStyle w:val="Compact"/>
            </w:pPr>
            <w:r>
              <w:t xml:space="preserve">FCF</w:t>
            </w:r>
          </w:p>
        </w:tc>
        <w:tc>
          <w:tcPr/>
          <w:p>
            <w:pPr>
              <w:pStyle w:val="Compact"/>
            </w:pPr>
            <w:r>
              <w:rPr>
                <w:rFonts w:hint="eastAsia"/>
              </w:rPr>
              <w:t xml:space="preserve">营业利润率</w:t>
            </w:r>
          </w:p>
        </w:tc>
      </w:tr>
      <w:tr>
        <w:tc>
          <w:tcPr/>
          <w:p>
            <w:pPr>
              <w:pStyle w:val="Compact"/>
            </w:pPr>
            <w:r>
              <w:t xml:space="preserve">2026-06-30</w:t>
            </w:r>
          </w:p>
        </w:tc>
        <w:tc>
          <w:tcPr/>
          <w:p>
            <w:pPr>
              <w:pStyle w:val="Compact"/>
            </w:pPr>
            <w:r>
              <w:t xml:space="preserve">11.5 bn USD</w:t>
            </w:r>
          </w:p>
        </w:tc>
        <w:tc>
          <w:tcPr/>
          <w:p>
            <w:pPr>
              <w:pStyle w:val="Compact"/>
            </w:pPr>
            <w:r>
              <w:t xml:space="preserve">6.2 bn USD</w:t>
            </w:r>
          </w:p>
        </w:tc>
        <w:tc>
          <w:tcPr/>
          <w:p>
            <w:pPr>
              <w:pStyle w:val="Compact"/>
            </w:pPr>
            <w:r>
              <w:t xml:space="preserve">2.0 bn USD</w:t>
            </w:r>
          </w:p>
        </w:tc>
        <w:tc>
          <w:tcPr/>
          <w:p>
            <w:pPr>
              <w:pStyle w:val="Compact"/>
            </w:pPr>
            <w:r>
              <w:t xml:space="preserve">2.3 bn USD</w:t>
            </w:r>
          </w:p>
        </w:tc>
        <w:tc>
          <w:tcPr/>
          <w:p>
            <w:pPr>
              <w:pStyle w:val="Compact"/>
            </w:pPr>
            <w:r>
              <w:t xml:space="preserve">1.6 bn USD</w:t>
            </w:r>
          </w:p>
        </w:tc>
        <w:tc>
          <w:tcPr/>
          <w:p>
            <w:pPr>
              <w:pStyle w:val="Compact"/>
            </w:pPr>
            <w:r>
              <w:t xml:space="preserve">17.3%</w:t>
            </w:r>
          </w:p>
        </w:tc>
      </w:tr>
      <w:tr>
        <w:tc>
          <w:tcPr/>
          <w:p>
            <w:pPr>
              <w:pStyle w:val="Compact"/>
            </w:pPr>
            <w:r>
              <w:t xml:space="preserve">2026-03-31</w:t>
            </w:r>
          </w:p>
        </w:tc>
        <w:tc>
          <w:tcPr/>
          <w:p>
            <w:pPr>
              <w:pStyle w:val="Compact"/>
            </w:pPr>
            <w:r>
              <w:t xml:space="preserve">10.3 bn USD</w:t>
            </w:r>
          </w:p>
        </w:tc>
        <w:tc>
          <w:tcPr/>
          <w:p>
            <w:pPr>
              <w:pStyle w:val="Compact"/>
            </w:pPr>
            <w:r>
              <w:t xml:space="preserve">5.4 bn USD</w:t>
            </w:r>
          </w:p>
        </w:tc>
        <w:tc>
          <w:tcPr/>
          <w:p>
            <w:pPr>
              <w:pStyle w:val="Compact"/>
            </w:pPr>
            <w:r>
              <w:t xml:space="preserve">1.5 bn USD</w:t>
            </w:r>
          </w:p>
        </w:tc>
        <w:tc>
          <w:tcPr/>
          <w:p>
            <w:pPr>
              <w:pStyle w:val="Compact"/>
            </w:pPr>
            <w:r>
              <w:t xml:space="preserve">1.4 bn USD</w:t>
            </w:r>
          </w:p>
        </w:tc>
        <w:tc>
          <w:tcPr/>
          <w:p>
            <w:pPr>
              <w:pStyle w:val="Compact"/>
            </w:pPr>
            <w:r>
              <w:t xml:space="preserve">2.6 bn USD</w:t>
            </w:r>
          </w:p>
        </w:tc>
        <w:tc>
          <w:tcPr/>
          <w:p>
            <w:pPr>
              <w:pStyle w:val="Compact"/>
            </w:pPr>
            <w:r>
              <w:t xml:space="preserve">14.4%</w:t>
            </w:r>
          </w:p>
        </w:tc>
      </w:tr>
      <w:tr>
        <w:tc>
          <w:tcPr/>
          <w:p>
            <w:pPr>
              <w:pStyle w:val="Compact"/>
            </w:pPr>
            <w:r>
              <w:t xml:space="preserve">2025-12-31</w:t>
            </w:r>
          </w:p>
        </w:tc>
        <w:tc>
          <w:tcPr/>
          <w:p>
            <w:pPr>
              <w:pStyle w:val="Compact"/>
            </w:pPr>
            <w:r>
              <w:t xml:space="preserve">10.3 bn USD</w:t>
            </w:r>
          </w:p>
        </w:tc>
        <w:tc>
          <w:tcPr/>
          <w:p>
            <w:pPr>
              <w:pStyle w:val="Compact"/>
            </w:pPr>
            <w:r>
              <w:t xml:space="preserve">5.6 bn USD</w:t>
            </w:r>
          </w:p>
        </w:tc>
        <w:tc>
          <w:tcPr/>
          <w:p>
            <w:pPr>
              <w:pStyle w:val="Compact"/>
            </w:pPr>
            <w:r>
              <w:t xml:space="preserve">1.8 bn USD</w:t>
            </w:r>
          </w:p>
        </w:tc>
        <w:tc>
          <w:tcPr/>
          <w:p>
            <w:pPr>
              <w:pStyle w:val="Compact"/>
            </w:pPr>
            <w:r>
              <w:t xml:space="preserve">1.5 bn USD</w:t>
            </w:r>
          </w:p>
        </w:tc>
        <w:tc>
          <w:tcPr/>
          <w:p>
            <w:pPr>
              <w:pStyle w:val="Compact"/>
            </w:pPr>
            <w:r>
              <w:t xml:space="preserve">2.4 bn USD</w:t>
            </w:r>
          </w:p>
        </w:tc>
        <w:tc>
          <w:tcPr/>
          <w:p>
            <w:pPr>
              <w:pStyle w:val="Compact"/>
            </w:pPr>
            <w:r>
              <w:t xml:space="preserve">17.1%</w:t>
            </w:r>
          </w:p>
        </w:tc>
      </w:tr>
      <w:tr>
        <w:tc>
          <w:tcPr/>
          <w:p>
            <w:pPr>
              <w:pStyle w:val="Compact"/>
            </w:pPr>
            <w:r>
              <w:t xml:space="preserve">2025-09-30</w:t>
            </w:r>
          </w:p>
        </w:tc>
        <w:tc>
          <w:tcPr/>
          <w:p>
            <w:pPr>
              <w:pStyle w:val="Compact"/>
            </w:pPr>
            <w:r>
              <w:t xml:space="preserve">9.2 bn USD</w:t>
            </w:r>
          </w:p>
        </w:tc>
        <w:tc>
          <w:tcPr/>
          <w:p>
            <w:pPr>
              <w:pStyle w:val="Compact"/>
            </w:pPr>
            <w:r>
              <w:t xml:space="preserve">4.8 bn USD</w:t>
            </w:r>
          </w:p>
        </w:tc>
        <w:tc>
          <w:tcPr/>
          <w:p>
            <w:pPr>
              <w:pStyle w:val="Compact"/>
            </w:pPr>
            <w:r>
              <w:t xml:space="preserve">1.3 bn USD</w:t>
            </w:r>
          </w:p>
        </w:tc>
        <w:tc>
          <w:tcPr/>
          <w:p>
            <w:pPr>
              <w:pStyle w:val="Compact"/>
            </w:pPr>
            <w:r>
              <w:t xml:space="preserve">1.2 bn USD</w:t>
            </w:r>
          </w:p>
        </w:tc>
        <w:tc>
          <w:tcPr/>
          <w:p>
            <w:pPr>
              <w:pStyle w:val="Compact"/>
            </w:pPr>
            <w:r>
              <w:t xml:space="preserve">1.9 bn USD</w:t>
            </w:r>
          </w:p>
        </w:tc>
        <w:tc>
          <w:tcPr/>
          <w:p>
            <w:pPr>
              <w:pStyle w:val="Compact"/>
            </w:pPr>
            <w:r>
              <w:t xml:space="preserve">13.7%</w:t>
            </w:r>
          </w:p>
        </w:tc>
      </w:tr>
      <w:tr>
        <w:tc>
          <w:tcPr/>
          <w:p>
            <w:pPr>
              <w:pStyle w:val="Compact"/>
            </w:pPr>
            <w:r>
              <w:t xml:space="preserve">2025-06-30</w:t>
            </w:r>
          </w:p>
        </w:tc>
        <w:tc>
          <w:tcPr/>
          <w:p>
            <w:pPr>
              <w:pStyle w:val="Compact"/>
            </w:pPr>
            <w:r>
              <w:t xml:space="preserve">7.7 bn USD</w:t>
            </w:r>
          </w:p>
        </w:tc>
        <w:tc>
          <w:tcPr/>
          <w:p>
            <w:pPr>
              <w:pStyle w:val="Compact"/>
            </w:pPr>
            <w:r>
              <w:t xml:space="preserve">3.1 bn USD</w:t>
            </w:r>
          </w:p>
        </w:tc>
        <w:tc>
          <w:tcPr/>
          <w:p>
            <w:pPr>
              <w:pStyle w:val="Compact"/>
            </w:pPr>
            <w:r>
              <w:t xml:space="preserve">-0.1 bn USD</w:t>
            </w:r>
          </w:p>
        </w:tc>
        <w:tc>
          <w:tcPr/>
          <w:p>
            <w:pPr>
              <w:pStyle w:val="Compact"/>
            </w:pPr>
            <w:r>
              <w:t xml:space="preserve">0.9 bn USD</w:t>
            </w:r>
          </w:p>
        </w:tc>
        <w:tc>
          <w:tcPr/>
          <w:p>
            <w:pPr>
              <w:pStyle w:val="Compact"/>
            </w:pPr>
            <w:r>
              <w:t xml:space="preserve">1.7 bn USD</w:t>
            </w:r>
          </w:p>
        </w:tc>
        <w:tc>
          <w:tcPr/>
          <w:p>
            <w:pPr>
              <w:pStyle w:val="Compact"/>
            </w:pPr>
            <w:r>
              <w:t xml:space="preserve">-1.7%</w:t>
            </w:r>
          </w:p>
        </w:tc>
      </w:tr>
    </w:tbl>
    <w:p>
      <w:pPr>
        <w:pStyle w:val="BodyText"/>
      </w:pPr>
      <w:r>
        <w:rPr>
          <w:rFonts w:hint="eastAsia"/>
        </w:rPr>
        <w:t xml:space="preserve">资产负债:</w:t>
      </w:r>
      <w:r>
        <w:t xml:space="preserve"> </w:t>
      </w:r>
      <w:r>
        <w:rPr>
          <w:rFonts w:hint="eastAsia"/>
        </w:rPr>
        <w:t xml:space="preserve">现金</w:t>
      </w:r>
      <w:r>
        <w:t xml:space="preserve"> 13.1 bn </w:t>
      </w:r>
      <w:r>
        <w:rPr>
          <w:rFonts w:hint="eastAsia"/>
        </w:rPr>
        <w:t xml:space="preserve">USD；总负债</w:t>
      </w:r>
      <w:r>
        <w:t xml:space="preserve"> 4.3 bn </w:t>
      </w:r>
      <w:r>
        <w:rPr>
          <w:rFonts w:hint="eastAsia"/>
        </w:rPr>
        <w:t xml:space="preserve">USD；净现金</w:t>
      </w:r>
      <w:r>
        <w:t xml:space="preserve"> 8.8 bn USD。TTM FCF 8.4 bn </w:t>
      </w:r>
      <w:r>
        <w:rPr>
          <w:rFonts w:hint="eastAsia"/>
        </w:rPr>
        <w:t xml:space="preserve">USD（FCF率</w:t>
      </w:r>
      <w:r>
        <w:t xml:space="preserve"> </w:t>
      </w:r>
      <w:r>
        <w:rPr>
          <w:rFonts w:hint="eastAsia"/>
        </w:rPr>
        <w:t xml:space="preserve">20.3%）。</w:t>
      </w:r>
    </w:p>
    <w:bookmarkEnd w:id="12"/>
    <w:bookmarkStart w:id="13" w:name="最新财报-实际-vs-一致预期-vs-指引"/>
    <w:p>
      <w:pPr>
        <w:pStyle w:val="Heading2"/>
      </w:pPr>
      <w:r>
        <w:t xml:space="preserve">5. </w:t>
      </w:r>
      <w:r>
        <w:rPr>
          <w:rFonts w:hint="eastAsia"/>
        </w:rPr>
        <w:t xml:space="preserve">最新财报:</w:t>
      </w:r>
      <w:r>
        <w:t xml:space="preserve"> </w:t>
      </w:r>
      <w:r>
        <w:rPr>
          <w:rFonts w:hint="eastAsia"/>
        </w:rPr>
        <w:t xml:space="preserve">实际</w:t>
      </w:r>
      <w:r>
        <w:t xml:space="preserve"> vs </w:t>
      </w:r>
      <w:r>
        <w:rPr>
          <w:rFonts w:hint="eastAsia"/>
        </w:rPr>
        <w:t xml:space="preserve">一致预期</w:t>
      </w:r>
      <w:r>
        <w:t xml:space="preserve"> vs </w:t>
      </w:r>
      <w:r>
        <w:rPr>
          <w:rFonts w:hint="eastAsia"/>
        </w:rPr>
        <w:t xml:space="preserve">指引</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季度</w:t>
            </w:r>
          </w:p>
        </w:tc>
        <w:tc>
          <w:tcPr/>
          <w:p>
            <w:pPr>
              <w:pStyle w:val="Compact"/>
            </w:pPr>
            <w:r>
              <w:rPr>
                <w:rFonts w:hint="eastAsia"/>
              </w:rPr>
              <w:t xml:space="preserve">EPS实际</w:t>
            </w:r>
          </w:p>
        </w:tc>
        <w:tc>
          <w:tcPr/>
          <w:p>
            <w:pPr>
              <w:pStyle w:val="Compact"/>
            </w:pPr>
            <w:r>
              <w:rPr>
                <w:rFonts w:hint="eastAsia"/>
              </w:rPr>
              <w:t xml:space="preserve">EPS一致预期</w:t>
            </w:r>
          </w:p>
        </w:tc>
        <w:tc>
          <w:tcPr/>
          <w:p>
            <w:pPr>
              <w:pStyle w:val="Compact"/>
            </w:pPr>
            <w:r>
              <w:rPr>
                <w:rFonts w:hint="eastAsia"/>
              </w:rPr>
              <w:t xml:space="preserve">超预期%</w:t>
            </w:r>
          </w:p>
        </w:tc>
      </w:tr>
      <w:tr>
        <w:tc>
          <w:tcPr/>
          <w:p>
            <w:pPr>
              <w:pStyle w:val="Compact"/>
            </w:pPr>
            <w:r>
              <w:t xml:space="preserve">2025-09-30</w:t>
            </w:r>
          </w:p>
        </w:tc>
        <w:tc>
          <w:tcPr/>
          <w:p>
            <w:pPr>
              <w:pStyle w:val="Compact"/>
            </w:pPr>
            <w:r>
              <w:t xml:space="preserve">1.2</w:t>
            </w:r>
          </w:p>
        </w:tc>
        <w:tc>
          <w:tcPr/>
          <w:p>
            <w:pPr>
              <w:pStyle w:val="Compact"/>
            </w:pPr>
            <w:r>
              <w:t xml:space="preserve">1.171</w:t>
            </w:r>
          </w:p>
        </w:tc>
        <w:tc>
          <w:tcPr/>
          <w:p>
            <w:pPr>
              <w:pStyle w:val="Compact"/>
            </w:pPr>
            <w:r>
              <w:t xml:space="preserve">0.0248</w:t>
            </w:r>
          </w:p>
        </w:tc>
      </w:tr>
      <w:tr>
        <w:tc>
          <w:tcPr/>
          <w:p>
            <w:pPr>
              <w:pStyle w:val="Compact"/>
            </w:pPr>
            <w:r>
              <w:t xml:space="preserve">2025-12-31</w:t>
            </w:r>
          </w:p>
        </w:tc>
        <w:tc>
          <w:tcPr/>
          <w:p>
            <w:pPr>
              <w:pStyle w:val="Compact"/>
            </w:pPr>
            <w:r>
              <w:t xml:space="preserve">1.53</w:t>
            </w:r>
          </w:p>
        </w:tc>
        <w:tc>
          <w:tcPr/>
          <w:p>
            <w:pPr>
              <w:pStyle w:val="Compact"/>
            </w:pPr>
            <w:r>
              <w:t xml:space="preserve">1.31917</w:t>
            </w:r>
          </w:p>
        </w:tc>
        <w:tc>
          <w:tcPr/>
          <w:p>
            <w:pPr>
              <w:pStyle w:val="Compact"/>
            </w:pPr>
            <w:r>
              <w:t xml:space="preserve">0.1598</w:t>
            </w:r>
          </w:p>
        </w:tc>
      </w:tr>
      <w:tr>
        <w:tc>
          <w:tcPr/>
          <w:p>
            <w:pPr>
              <w:pStyle w:val="Compact"/>
            </w:pPr>
            <w:r>
              <w:t xml:space="preserve">2026-03-31</w:t>
            </w:r>
          </w:p>
        </w:tc>
        <w:tc>
          <w:tcPr/>
          <w:p>
            <w:pPr>
              <w:pStyle w:val="Compact"/>
            </w:pPr>
            <w:r>
              <w:t xml:space="preserve">1.37</w:t>
            </w:r>
          </w:p>
        </w:tc>
        <w:tc>
          <w:tcPr/>
          <w:p>
            <w:pPr>
              <w:pStyle w:val="Compact"/>
            </w:pPr>
            <w:r>
              <w:t xml:space="preserve">1.29468</w:t>
            </w:r>
          </w:p>
        </w:tc>
        <w:tc>
          <w:tcPr/>
          <w:p>
            <w:pPr>
              <w:pStyle w:val="Compact"/>
            </w:pPr>
            <w:r>
              <w:t xml:space="preserve">0.0582</w:t>
            </w:r>
          </w:p>
        </w:tc>
      </w:tr>
      <w:tr>
        <w:tc>
          <w:tcPr/>
          <w:p>
            <w:pPr>
              <w:pStyle w:val="Compact"/>
            </w:pPr>
            <w:r>
              <w:t xml:space="preserve">2026-06-30</w:t>
            </w:r>
          </w:p>
        </w:tc>
        <w:tc>
          <w:tcPr/>
          <w:p>
            <w:pPr>
              <w:pStyle w:val="Compact"/>
            </w:pPr>
            <w:r>
              <w:t xml:space="preserve">1.66</w:t>
            </w:r>
          </w:p>
        </w:tc>
        <w:tc>
          <w:tcPr/>
          <w:p>
            <w:pPr>
              <w:pStyle w:val="Compact"/>
            </w:pPr>
            <w:r>
              <w:t xml:space="preserve">1.60841</w:t>
            </w:r>
          </w:p>
        </w:tc>
        <w:tc>
          <w:tcPr/>
          <w:p>
            <w:pPr>
              <w:pStyle w:val="Compact"/>
            </w:pPr>
            <w:r>
              <w:t xml:space="preserve">0.0321</w:t>
            </w:r>
          </w:p>
        </w:tc>
      </w:tr>
    </w:tbl>
    <w:p>
      <w:pPr>
        <w:pStyle w:val="Compact"/>
        <w:numPr>
          <w:ilvl w:val="0"/>
          <w:numId w:val="1004"/>
        </w:numPr>
      </w:pPr>
      <w:r>
        <w:rPr>
          <w:rFonts w:hint="eastAsia"/>
        </w:rPr>
        <w:t xml:space="preserve">管理层指引</w:t>
      </w:r>
      <w:r>
        <w:t xml:space="preserve"> Guidance: </w:t>
      </w:r>
      <w:r>
        <w:rPr>
          <w:rFonts w:hint="eastAsia"/>
        </w:rPr>
        <w:t xml:space="preserve">自动数据源不含指引——</w:t>
      </w:r>
      <w:r>
        <w:rPr>
          <w:rFonts w:hint="eastAsia"/>
          <w:b/>
          <w:bCs/>
        </w:rPr>
        <w:t xml:space="preserve">UNAVAILABLE（待从公司IR新闻稿录入）</w:t>
      </w:r>
      <w:r>
        <w:t xml:space="preserve">。</w:t>
      </w:r>
    </w:p>
    <w:p>
      <w:pPr>
        <w:pStyle w:val="Compact"/>
        <w:numPr>
          <w:ilvl w:val="0"/>
          <w:numId w:val="1004"/>
        </w:numPr>
      </w:pPr>
      <w:r>
        <w:rPr>
          <w:rFonts w:hint="eastAsia"/>
        </w:rPr>
        <w:t xml:space="preserve">下次财报日</w:t>
      </w:r>
      <w:r>
        <w:t xml:space="preserve"> (Yahoo, TENTATIVE </w:t>
      </w:r>
      <w:r>
        <w:rPr>
          <w:rFonts w:hint="eastAsia"/>
        </w:rPr>
        <w:t xml:space="preserve">直至公司确认):</w:t>
      </w:r>
      <w:r>
        <w:t xml:space="preserve"> </w:t>
      </w:r>
      <w:r>
        <w:rPr>
          <w:b/>
          <w:bCs/>
        </w:rPr>
        <w:t xml:space="preserve">2026-11-04</w:t>
      </w:r>
      <w:r>
        <w:rPr>
          <w:rFonts w:hint="eastAsia"/>
        </w:rPr>
        <w:t xml:space="preserve">；本季EPS一致预期</w:t>
      </w:r>
      <w:r>
        <w:t xml:space="preserve"> </w:t>
      </w:r>
      <w:r>
        <w:rPr>
          <w:rFonts w:hint="eastAsia"/>
        </w:rPr>
        <w:t xml:space="preserve">1.92939（40位分析师）；收入一致预期</w:t>
      </w:r>
      <w:r>
        <w:t xml:space="preserve"> 13.1 bn USD。</w:t>
      </w:r>
    </w:p>
    <w:bookmarkEnd w:id="13"/>
    <w:bookmarkStart w:id="14" w:name="未来2468季度驱动与价格合理性"/>
    <w:p>
      <w:pPr>
        <w:pStyle w:val="Heading2"/>
      </w:pPr>
      <w:r>
        <w:t xml:space="preserve">6. </w:t>
      </w:r>
      <w:r>
        <w:rPr>
          <w:rFonts w:hint="eastAsia"/>
        </w:rPr>
        <w:t xml:space="preserve">未来2/4/6/8季度驱动与价格合理性</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期限</w:t>
            </w:r>
          </w:p>
        </w:tc>
        <w:tc>
          <w:tcPr/>
          <w:p>
            <w:pPr>
              <w:pStyle w:val="Compact"/>
            </w:pPr>
            <w:r>
              <w:rPr>
                <w:rFonts w:hint="eastAsia"/>
              </w:rPr>
              <w:t xml:space="preserve">情景</w:t>
            </w:r>
          </w:p>
        </w:tc>
        <w:tc>
          <w:tcPr/>
          <w:p>
            <w:pPr>
              <w:pStyle w:val="Compact"/>
            </w:pPr>
            <w:r>
              <w:rPr>
                <w:rFonts w:hint="eastAsia"/>
              </w:rPr>
              <w:t xml:space="preserve">期限价格现值</w:t>
            </w:r>
          </w:p>
        </w:tc>
        <w:tc>
          <w:tcPr/>
          <w:p>
            <w:pPr>
              <w:pStyle w:val="Compact"/>
            </w:pPr>
            <w:r>
              <w:rPr>
                <w:rFonts w:hint="eastAsia"/>
              </w:rPr>
              <w:t xml:space="preserve">相对现价</w:t>
            </w:r>
          </w:p>
        </w:tc>
      </w:tr>
      <w:tr>
        <w:tc>
          <w:tcPr/>
          <w:p>
            <w:pPr>
              <w:pStyle w:val="Compact"/>
            </w:pPr>
            <w:r>
              <w:t xml:space="preserve">2Q</w:t>
            </w:r>
          </w:p>
        </w:tc>
        <w:tc>
          <w:tcPr/>
          <w:p>
            <w:pPr>
              <w:pStyle w:val="Compact"/>
            </w:pPr>
            <w:r>
              <w:t xml:space="preserve">Bear</w:t>
            </w:r>
          </w:p>
        </w:tc>
        <w:tc>
          <w:tcPr/>
          <w:p>
            <w:pPr>
              <w:pStyle w:val="Compact"/>
            </w:pPr>
            <w:r>
              <w:t xml:space="preserve">$120.69</w:t>
            </w:r>
          </w:p>
        </w:tc>
        <w:tc>
          <w:tcPr/>
          <w:p>
            <w:pPr>
              <w:pStyle w:val="Compact"/>
            </w:pPr>
            <w:r>
              <w:t xml:space="preserve">-78.9%</w:t>
            </w:r>
          </w:p>
        </w:tc>
      </w:tr>
      <w:tr>
        <w:tc>
          <w:tcPr/>
          <w:p>
            <w:pPr>
              <w:pStyle w:val="Compact"/>
            </w:pPr>
            <w:r>
              <w:t xml:space="preserve">2Q</w:t>
            </w:r>
          </w:p>
        </w:tc>
        <w:tc>
          <w:tcPr/>
          <w:p>
            <w:pPr>
              <w:pStyle w:val="Compact"/>
            </w:pPr>
            <w:r>
              <w:t xml:space="preserve">Base</w:t>
            </w:r>
          </w:p>
        </w:tc>
        <w:tc>
          <w:tcPr/>
          <w:p>
            <w:pPr>
              <w:pStyle w:val="Compact"/>
            </w:pPr>
            <w:r>
              <w:t xml:space="preserve">$303.20</w:t>
            </w:r>
          </w:p>
        </w:tc>
        <w:tc>
          <w:tcPr/>
          <w:p>
            <w:pPr>
              <w:pStyle w:val="Compact"/>
            </w:pPr>
            <w:r>
              <w:t xml:space="preserve">-46.9%</w:t>
            </w:r>
          </w:p>
        </w:tc>
      </w:tr>
      <w:tr>
        <w:tc>
          <w:tcPr/>
          <w:p>
            <w:pPr>
              <w:pStyle w:val="Compact"/>
            </w:pPr>
            <w:r>
              <w:t xml:space="preserve">2Q</w:t>
            </w:r>
          </w:p>
        </w:tc>
        <w:tc>
          <w:tcPr/>
          <w:p>
            <w:pPr>
              <w:pStyle w:val="Compact"/>
            </w:pPr>
            <w:r>
              <w:t xml:space="preserve">Bull</w:t>
            </w:r>
          </w:p>
        </w:tc>
        <w:tc>
          <w:tcPr/>
          <w:p>
            <w:pPr>
              <w:pStyle w:val="Compact"/>
            </w:pPr>
            <w:r>
              <w:t xml:space="preserve">$532.24</w:t>
            </w:r>
          </w:p>
        </w:tc>
        <w:tc>
          <w:tcPr/>
          <w:p>
            <w:pPr>
              <w:pStyle w:val="Compact"/>
            </w:pPr>
            <w:r>
              <w:t xml:space="preserve">-6.8%</w:t>
            </w:r>
          </w:p>
        </w:tc>
      </w:tr>
      <w:tr>
        <w:tc>
          <w:tcPr/>
          <w:p>
            <w:pPr>
              <w:pStyle w:val="Compact"/>
            </w:pPr>
            <w:r>
              <w:t xml:space="preserve">4Q</w:t>
            </w:r>
          </w:p>
        </w:tc>
        <w:tc>
          <w:tcPr/>
          <w:p>
            <w:pPr>
              <w:pStyle w:val="Compact"/>
            </w:pPr>
            <w:r>
              <w:t xml:space="preserve">Bear</w:t>
            </w:r>
          </w:p>
        </w:tc>
        <w:tc>
          <w:tcPr/>
          <w:p>
            <w:pPr>
              <w:pStyle w:val="Compact"/>
            </w:pPr>
            <w:r>
              <w:t xml:space="preserve">$131.29</w:t>
            </w:r>
          </w:p>
        </w:tc>
        <w:tc>
          <w:tcPr/>
          <w:p>
            <w:pPr>
              <w:pStyle w:val="Compact"/>
            </w:pPr>
            <w:r>
              <w:t xml:space="preserve">-77.0%</w:t>
            </w:r>
          </w:p>
        </w:tc>
      </w:tr>
      <w:tr>
        <w:tc>
          <w:tcPr/>
          <w:p>
            <w:pPr>
              <w:pStyle w:val="Compact"/>
            </w:pPr>
            <w:r>
              <w:t xml:space="preserve">4Q</w:t>
            </w:r>
          </w:p>
        </w:tc>
        <w:tc>
          <w:tcPr/>
          <w:p>
            <w:pPr>
              <w:pStyle w:val="Compact"/>
            </w:pPr>
            <w:r>
              <w:t xml:space="preserve">Base</w:t>
            </w:r>
          </w:p>
        </w:tc>
        <w:tc>
          <w:tcPr/>
          <w:p>
            <w:pPr>
              <w:pStyle w:val="Compact"/>
            </w:pPr>
            <w:r>
              <w:t xml:space="preserve">$382.90</w:t>
            </w:r>
          </w:p>
        </w:tc>
        <w:tc>
          <w:tcPr/>
          <w:p>
            <w:pPr>
              <w:pStyle w:val="Compact"/>
            </w:pPr>
            <w:r>
              <w:t xml:space="preserve">-32.9%</w:t>
            </w:r>
          </w:p>
        </w:tc>
      </w:tr>
      <w:tr>
        <w:tc>
          <w:tcPr/>
          <w:p>
            <w:pPr>
              <w:pStyle w:val="Compact"/>
            </w:pPr>
            <w:r>
              <w:t xml:space="preserve">4Q</w:t>
            </w:r>
          </w:p>
        </w:tc>
        <w:tc>
          <w:tcPr/>
          <w:p>
            <w:pPr>
              <w:pStyle w:val="Compact"/>
            </w:pPr>
            <w:r>
              <w:t xml:space="preserve">Bull</w:t>
            </w:r>
          </w:p>
        </w:tc>
        <w:tc>
          <w:tcPr/>
          <w:p>
            <w:pPr>
              <w:pStyle w:val="Compact"/>
            </w:pPr>
            <w:r>
              <w:t xml:space="preserve">$727.23</w:t>
            </w:r>
          </w:p>
        </w:tc>
        <w:tc>
          <w:tcPr/>
          <w:p>
            <w:pPr>
              <w:pStyle w:val="Compact"/>
            </w:pPr>
            <w:r>
              <w:t xml:space="preserve">27.4%</w:t>
            </w:r>
          </w:p>
        </w:tc>
      </w:tr>
      <w:tr>
        <w:tc>
          <w:tcPr/>
          <w:p>
            <w:pPr>
              <w:pStyle w:val="Compact"/>
            </w:pPr>
            <w:r>
              <w:t xml:space="preserve">6Q</w:t>
            </w:r>
          </w:p>
        </w:tc>
        <w:tc>
          <w:tcPr/>
          <w:p>
            <w:pPr>
              <w:pStyle w:val="Compact"/>
            </w:pPr>
            <w:r>
              <w:t xml:space="preserve">Bear</w:t>
            </w:r>
          </w:p>
        </w:tc>
        <w:tc>
          <w:tcPr/>
          <w:p>
            <w:pPr>
              <w:pStyle w:val="Compact"/>
            </w:pPr>
            <w:r>
              <w:t xml:space="preserve">$142.95</w:t>
            </w:r>
          </w:p>
        </w:tc>
        <w:tc>
          <w:tcPr/>
          <w:p>
            <w:pPr>
              <w:pStyle w:val="Compact"/>
            </w:pPr>
            <w:r>
              <w:t xml:space="preserve">-75.0%</w:t>
            </w:r>
          </w:p>
        </w:tc>
      </w:tr>
      <w:tr>
        <w:tc>
          <w:tcPr/>
          <w:p>
            <w:pPr>
              <w:pStyle w:val="Compact"/>
            </w:pPr>
            <w:r>
              <w:t xml:space="preserve">6Q</w:t>
            </w:r>
          </w:p>
        </w:tc>
        <w:tc>
          <w:tcPr/>
          <w:p>
            <w:pPr>
              <w:pStyle w:val="Compact"/>
            </w:pPr>
            <w:r>
              <w:t xml:space="preserve">Base</w:t>
            </w:r>
          </w:p>
        </w:tc>
        <w:tc>
          <w:tcPr/>
          <w:p>
            <w:pPr>
              <w:pStyle w:val="Compact"/>
            </w:pPr>
            <w:r>
              <w:t xml:space="preserve">$483.87</w:t>
            </w:r>
          </w:p>
        </w:tc>
        <w:tc>
          <w:tcPr/>
          <w:p>
            <w:pPr>
              <w:pStyle w:val="Compact"/>
            </w:pPr>
            <w:r>
              <w:t xml:space="preserve">-15.2%</w:t>
            </w:r>
          </w:p>
        </w:tc>
      </w:tr>
      <w:tr>
        <w:tc>
          <w:tcPr/>
          <w:p>
            <w:pPr>
              <w:pStyle w:val="Compact"/>
            </w:pPr>
            <w:r>
              <w:t xml:space="preserve">6Q</w:t>
            </w:r>
          </w:p>
        </w:tc>
        <w:tc>
          <w:tcPr/>
          <w:p>
            <w:pPr>
              <w:pStyle w:val="Compact"/>
            </w:pPr>
            <w:r>
              <w:t xml:space="preserve">Bull</w:t>
            </w:r>
          </w:p>
        </w:tc>
        <w:tc>
          <w:tcPr/>
          <w:p>
            <w:pPr>
              <w:pStyle w:val="Compact"/>
            </w:pPr>
            <w:r>
              <w:t xml:space="preserve">$993.34</w:t>
            </w:r>
          </w:p>
        </w:tc>
        <w:tc>
          <w:tcPr/>
          <w:p>
            <w:pPr>
              <w:pStyle w:val="Compact"/>
            </w:pPr>
            <w:r>
              <w:t xml:space="preserve">74.0%</w:t>
            </w:r>
          </w:p>
        </w:tc>
      </w:tr>
      <w:tr>
        <w:tc>
          <w:tcPr/>
          <w:p>
            <w:pPr>
              <w:pStyle w:val="Compact"/>
            </w:pPr>
            <w:r>
              <w:t xml:space="preserve">8Q</w:t>
            </w:r>
          </w:p>
        </w:tc>
        <w:tc>
          <w:tcPr/>
          <w:p>
            <w:pPr>
              <w:pStyle w:val="Compact"/>
            </w:pPr>
            <w:r>
              <w:t xml:space="preserve">Bear</w:t>
            </w:r>
          </w:p>
        </w:tc>
        <w:tc>
          <w:tcPr/>
          <w:p>
            <w:pPr>
              <w:pStyle w:val="Compact"/>
            </w:pPr>
            <w:r>
              <w:t xml:space="preserve">$155.75</w:t>
            </w:r>
          </w:p>
        </w:tc>
        <w:tc>
          <w:tcPr/>
          <w:p>
            <w:pPr>
              <w:pStyle w:val="Compact"/>
            </w:pPr>
            <w:r>
              <w:t xml:space="preserve">-72.7%</w:t>
            </w:r>
          </w:p>
        </w:tc>
      </w:tr>
      <w:tr>
        <w:tc>
          <w:tcPr/>
          <w:p>
            <w:pPr>
              <w:pStyle w:val="Compact"/>
            </w:pPr>
            <w:r>
              <w:t xml:space="preserve">8Q</w:t>
            </w:r>
          </w:p>
        </w:tc>
        <w:tc>
          <w:tcPr/>
          <w:p>
            <w:pPr>
              <w:pStyle w:val="Compact"/>
            </w:pPr>
            <w:r>
              <w:t xml:space="preserve">Base</w:t>
            </w:r>
          </w:p>
        </w:tc>
        <w:tc>
          <w:tcPr/>
          <w:p>
            <w:pPr>
              <w:pStyle w:val="Compact"/>
            </w:pPr>
            <w:r>
              <w:t xml:space="preserve">$611.73</w:t>
            </w:r>
          </w:p>
        </w:tc>
        <w:tc>
          <w:tcPr/>
          <w:p>
            <w:pPr>
              <w:pStyle w:val="Compact"/>
            </w:pPr>
            <w:r>
              <w:t xml:space="preserve">7.2%</w:t>
            </w:r>
          </w:p>
        </w:tc>
      </w:tr>
      <w:tr>
        <w:tc>
          <w:tcPr/>
          <w:p>
            <w:pPr>
              <w:pStyle w:val="Compact"/>
            </w:pPr>
            <w:r>
              <w:t xml:space="preserve">8Q</w:t>
            </w:r>
          </w:p>
        </w:tc>
        <w:tc>
          <w:tcPr/>
          <w:p>
            <w:pPr>
              <w:pStyle w:val="Compact"/>
            </w:pPr>
            <w:r>
              <w:t xml:space="preserve">Bull</w:t>
            </w:r>
          </w:p>
        </w:tc>
        <w:tc>
          <w:tcPr/>
          <w:p>
            <w:pPr>
              <w:pStyle w:val="Compact"/>
            </w:pPr>
            <w:r>
              <w:t xml:space="preserve">$1,356.11</w:t>
            </w:r>
          </w:p>
        </w:tc>
        <w:tc>
          <w:tcPr/>
          <w:p>
            <w:pPr>
              <w:pStyle w:val="Compact"/>
            </w:pPr>
            <w:r>
              <w:t xml:space="preserve">137.6%</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现价隐含的</w:t>
            </w:r>
            <w:r>
              <w:t xml:space="preserve"> EV/NTM-FCF (Base </w:t>
            </w:r>
            <w:r>
              <w:rPr>
                <w:rFonts w:hint="eastAsia"/>
              </w:rPr>
              <w:t xml:space="preserve">路径):</w:t>
            </w:r>
          </w:p>
        </w:tc>
        <w:tc>
          <w:tcPr/>
          <w:p>
            <w:pPr>
              <w:pStyle w:val="Compact"/>
            </w:pPr>
            <w:r>
              <w:rPr>
                <w:rFonts w:hint="eastAsia"/>
              </w:rPr>
              <w:t xml:space="preserve">期限</w:t>
            </w:r>
          </w:p>
        </w:tc>
      </w:tr>
      <w:tr>
        <w:tc>
          <w:tcPr/>
          <w:p>
            <w:pPr>
              <w:pStyle w:val="Compact"/>
            </w:pPr>
            <w:r>
              <w:t xml:space="preserve">2Q</w:t>
            </w:r>
          </w:p>
        </w:tc>
        <w:tc>
          <w:tcPr/>
          <w:p>
            <w:pPr>
              <w:pStyle w:val="Compact"/>
            </w:pPr>
            <w:r>
              <w:t xml:space="preserve">44.6x</w:t>
            </w:r>
          </w:p>
        </w:tc>
      </w:tr>
      <w:tr>
        <w:tc>
          <w:tcPr/>
          <w:p>
            <w:pPr>
              <w:pStyle w:val="Compact"/>
            </w:pPr>
            <w:r>
              <w:t xml:space="preserve">4Q</w:t>
            </w:r>
          </w:p>
        </w:tc>
        <w:tc>
          <w:tcPr/>
          <w:p>
            <w:pPr>
              <w:pStyle w:val="Compact"/>
            </w:pPr>
            <w:r>
              <w:t xml:space="preserve">33.0x</w:t>
            </w:r>
          </w:p>
        </w:tc>
      </w:tr>
      <w:tr>
        <w:tc>
          <w:tcPr/>
          <w:p>
            <w:pPr>
              <w:pStyle w:val="Compact"/>
            </w:pPr>
            <w:r>
              <w:t xml:space="preserve">6Q</w:t>
            </w:r>
          </w:p>
        </w:tc>
        <w:tc>
          <w:tcPr/>
          <w:p>
            <w:pPr>
              <w:pStyle w:val="Compact"/>
            </w:pPr>
            <w:r>
              <w:t xml:space="preserve">24.5x</w:t>
            </w:r>
          </w:p>
        </w:tc>
      </w:tr>
      <w:tr>
        <w:tc>
          <w:tcPr/>
          <w:p>
            <w:pPr>
              <w:pStyle w:val="Compact"/>
            </w:pPr>
            <w:r>
              <w:t xml:space="preserve">8Q</w:t>
            </w:r>
          </w:p>
        </w:tc>
        <w:tc>
          <w:tcPr/>
          <w:p>
            <w:pPr>
              <w:pStyle w:val="Compact"/>
            </w:pPr>
            <w:r>
              <w:t xml:space="preserve">18.2x</w:t>
            </w:r>
          </w:p>
        </w:tc>
      </w:tr>
    </w:tbl>
    <w:p>
      <w:pPr>
        <w:pStyle w:val="BodyText"/>
      </w:pPr>
      <w:r>
        <w:rPr>
          <w:rFonts w:hint="eastAsia"/>
        </w:rPr>
        <w:t xml:space="preserve">解读:</w:t>
      </w:r>
      <w:r>
        <w:t xml:space="preserve"> </w:t>
      </w:r>
      <w:r>
        <w:rPr>
          <w:rFonts w:hint="eastAsia"/>
        </w:rPr>
        <w:t xml:space="preserve">如果8季度后Base情景所需倍数仍远高于25x，说明价格依赖更远期的增长。</w:t>
      </w:r>
    </w:p>
    <w:bookmarkEnd w:id="14"/>
    <w:bookmarkStart w:id="15" w:name="三情景-bear-base-bull-hypothesis"/>
    <w:p>
      <w:pPr>
        <w:pStyle w:val="Heading2"/>
      </w:pPr>
      <w:r>
        <w:t xml:space="preserve">7. </w:t>
      </w:r>
      <w:r>
        <w:rPr>
          <w:rFonts w:hint="eastAsia"/>
        </w:rPr>
        <w:t xml:space="preserve">三情景</w:t>
      </w:r>
      <w:r>
        <w:t xml:space="preserve">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rPr>
                <w:rFonts w:hint="eastAsia"/>
              </w:rPr>
              <w:t xml:space="preserve">情景</w:t>
            </w:r>
          </w:p>
        </w:tc>
        <w:tc>
          <w:tcPr/>
          <w:p>
            <w:pPr>
              <w:pStyle w:val="Compact"/>
            </w:pPr>
            <w:r>
              <w:rPr>
                <w:rFonts w:hint="eastAsia"/>
              </w:rPr>
              <w:t xml:space="preserve">Y1增速</w:t>
            </w:r>
          </w:p>
        </w:tc>
        <w:tc>
          <w:tcPr/>
          <w:p>
            <w:pPr>
              <w:pStyle w:val="Compact"/>
            </w:pPr>
            <w:r>
              <w:rPr>
                <w:rFonts w:hint="eastAsia"/>
              </w:rPr>
              <w:t xml:space="preserve">长期FCF率</w:t>
            </w:r>
          </w:p>
        </w:tc>
        <w:tc>
          <w:tcPr/>
          <w:p>
            <w:pPr>
              <w:pStyle w:val="Compact"/>
            </w:pPr>
            <w:r>
              <w:t xml:space="preserve">WACC</w:t>
            </w:r>
          </w:p>
        </w:tc>
        <w:tc>
          <w:tcPr/>
          <w:p>
            <w:pPr>
              <w:pStyle w:val="Compact"/>
            </w:pPr>
            <w:r>
              <w:rPr>
                <w:rFonts w:hint="eastAsia"/>
              </w:rPr>
              <w:t xml:space="preserve">永续g</w:t>
            </w:r>
          </w:p>
        </w:tc>
        <w:tc>
          <w:tcPr/>
          <w:p>
            <w:pPr>
              <w:pStyle w:val="Compact"/>
            </w:pPr>
            <w:r>
              <w:rPr>
                <w:rFonts w:hint="eastAsia"/>
              </w:rPr>
              <w:t xml:space="preserve">概率</w:t>
            </w:r>
          </w:p>
        </w:tc>
        <w:tc>
          <w:tcPr/>
          <w:p>
            <w:pPr>
              <w:pStyle w:val="Compact"/>
            </w:pPr>
            <w:r>
              <w:rPr>
                <w:rFonts w:hint="eastAsia"/>
              </w:rPr>
              <w:t xml:space="preserve">每股价值</w:t>
            </w:r>
          </w:p>
        </w:tc>
        <w:tc>
          <w:tcPr/>
          <w:p>
            <w:pPr>
              <w:pStyle w:val="Compact"/>
            </w:pPr>
            <w:r>
              <w:rPr>
                <w:rFonts w:hint="eastAsia"/>
              </w:rPr>
              <w:t xml:space="preserve">相对现价</w:t>
            </w:r>
          </w:p>
        </w:tc>
      </w:tr>
      <w:tr>
        <w:tc>
          <w:tcPr/>
          <w:p>
            <w:pPr>
              <w:pStyle w:val="Compact"/>
            </w:pPr>
            <w:r>
              <w:t xml:space="preserve">Bear</w:t>
            </w:r>
          </w:p>
        </w:tc>
        <w:tc>
          <w:tcPr/>
          <w:p>
            <w:pPr>
              <w:pStyle w:val="Compact"/>
            </w:pPr>
            <w:r>
              <w:t xml:space="preserve">37.3%</w:t>
            </w:r>
          </w:p>
        </w:tc>
        <w:tc>
          <w:tcPr/>
          <w:p>
            <w:pPr>
              <w:pStyle w:val="Compact"/>
            </w:pPr>
            <w:r>
              <w:t xml:space="preserve">20.0%</w:t>
            </w:r>
          </w:p>
        </w:tc>
        <w:tc>
          <w:tcPr/>
          <w:p>
            <w:pPr>
              <w:pStyle w:val="Compact"/>
            </w:pPr>
            <w:r>
              <w:t xml:space="preserve">14.2%</w:t>
            </w:r>
          </w:p>
        </w:tc>
        <w:tc>
          <w:tcPr/>
          <w:p>
            <w:pPr>
              <w:pStyle w:val="Compact"/>
            </w:pPr>
            <w:r>
              <w:t xml:space="preserve">2.5%</w:t>
            </w:r>
          </w:p>
        </w:tc>
        <w:tc>
          <w:tcPr/>
          <w:p>
            <w:pPr>
              <w:pStyle w:val="Compact"/>
            </w:pPr>
            <w:r>
              <w:t xml:space="preserve">25.0%</w:t>
            </w:r>
          </w:p>
        </w:tc>
        <w:tc>
          <w:tcPr/>
          <w:p>
            <w:pPr>
              <w:pStyle w:val="Compact"/>
            </w:pPr>
            <w:r>
              <w:t xml:space="preserve">$159.79</w:t>
            </w:r>
          </w:p>
        </w:tc>
        <w:tc>
          <w:tcPr/>
          <w:p>
            <w:pPr>
              <w:pStyle w:val="Compact"/>
            </w:pPr>
            <w:r>
              <w:t xml:space="preserve">-72.0%</w:t>
            </w:r>
          </w:p>
        </w:tc>
      </w:tr>
      <w:tr>
        <w:tc>
          <w:tcPr/>
          <w:p>
            <w:pPr>
              <w:pStyle w:val="Compact"/>
            </w:pPr>
            <w:r>
              <w:t xml:space="preserve">Base</w:t>
            </w:r>
          </w:p>
        </w:tc>
        <w:tc>
          <w:tcPr/>
          <w:p>
            <w:pPr>
              <w:pStyle w:val="Compact"/>
            </w:pPr>
            <w:r>
              <w:t xml:space="preserve">74.6%</w:t>
            </w:r>
          </w:p>
        </w:tc>
        <w:tc>
          <w:tcPr/>
          <w:p>
            <w:pPr>
              <w:pStyle w:val="Compact"/>
            </w:pPr>
            <w:r>
              <w:t xml:space="preserve">25.0%</w:t>
            </w:r>
          </w:p>
        </w:tc>
        <w:tc>
          <w:tcPr/>
          <w:p>
            <w:pPr>
              <w:pStyle w:val="Compact"/>
            </w:pPr>
            <w:r>
              <w:t xml:space="preserve">13.2%</w:t>
            </w:r>
          </w:p>
        </w:tc>
        <w:tc>
          <w:tcPr/>
          <w:p>
            <w:pPr>
              <w:pStyle w:val="Compact"/>
            </w:pPr>
            <w:r>
              <w:t xml:space="preserve">3.0%</w:t>
            </w:r>
          </w:p>
        </w:tc>
        <w:tc>
          <w:tcPr/>
          <w:p>
            <w:pPr>
              <w:pStyle w:val="Compact"/>
            </w:pPr>
            <w:r>
              <w:t xml:space="preserve">50.0%</w:t>
            </w:r>
          </w:p>
        </w:tc>
        <w:tc>
          <w:tcPr/>
          <w:p>
            <w:pPr>
              <w:pStyle w:val="Compact"/>
            </w:pPr>
            <w:r>
              <w:t xml:space="preserve">$751.66</w:t>
            </w:r>
          </w:p>
        </w:tc>
        <w:tc>
          <w:tcPr/>
          <w:p>
            <w:pPr>
              <w:pStyle w:val="Compact"/>
            </w:pPr>
            <w:r>
              <w:t xml:space="preserve">31.7%</w:t>
            </w:r>
          </w:p>
        </w:tc>
      </w:tr>
      <w:tr>
        <w:tc>
          <w:tcPr/>
          <w:p>
            <w:pPr>
              <w:pStyle w:val="Compact"/>
            </w:pPr>
            <w:r>
              <w:t xml:space="preserve">Bull</w:t>
            </w:r>
          </w:p>
        </w:tc>
        <w:tc>
          <w:tcPr/>
          <w:p>
            <w:pPr>
              <w:pStyle w:val="Compact"/>
            </w:pPr>
            <w:r>
              <w:t xml:space="preserve">96.9%</w:t>
            </w:r>
          </w:p>
        </w:tc>
        <w:tc>
          <w:tcPr/>
          <w:p>
            <w:pPr>
              <w:pStyle w:val="Compact"/>
            </w:pPr>
            <w:r>
              <w:t xml:space="preserve">28.7%</w:t>
            </w:r>
          </w:p>
        </w:tc>
        <w:tc>
          <w:tcPr/>
          <w:p>
            <w:pPr>
              <w:pStyle w:val="Compact"/>
            </w:pPr>
            <w:r>
              <w:t xml:space="preserve">12.7%</w:t>
            </w:r>
          </w:p>
        </w:tc>
        <w:tc>
          <w:tcPr/>
          <w:p>
            <w:pPr>
              <w:pStyle w:val="Compact"/>
            </w:pPr>
            <w:r>
              <w:t xml:space="preserve">3.5%</w:t>
            </w:r>
          </w:p>
        </w:tc>
        <w:tc>
          <w:tcPr/>
          <w:p>
            <w:pPr>
              <w:pStyle w:val="Compact"/>
            </w:pPr>
            <w:r>
              <w:t xml:space="preserve">25.0%</w:t>
            </w:r>
          </w:p>
        </w:tc>
        <w:tc>
          <w:tcPr/>
          <w:p>
            <w:pPr>
              <w:pStyle w:val="Compact"/>
            </w:pPr>
            <w:r>
              <w:t xml:space="preserve">$1,872.98</w:t>
            </w:r>
          </w:p>
        </w:tc>
        <w:tc>
          <w:tcPr/>
          <w:p>
            <w:pPr>
              <w:pStyle w:val="Compact"/>
            </w:pPr>
            <w:r>
              <w:t xml:space="preserve">228.1%</w:t>
            </w:r>
          </w:p>
        </w:tc>
      </w:tr>
    </w:tbl>
    <w:p>
      <w:pPr>
        <w:pStyle w:val="BodyText"/>
      </w:pPr>
      <w:r>
        <w:rPr>
          <w:rFonts w:hint="eastAsia"/>
        </w:rPr>
        <w:t xml:space="preserve">概率加权价值</w:t>
      </w:r>
      <w:r>
        <w:t xml:space="preserve"> </w:t>
      </w:r>
      <w:r>
        <w:rPr>
          <w:b/>
          <w:bCs/>
        </w:rPr>
        <w:t xml:space="preserve">$884.02</w:t>
      </w:r>
      <w:r>
        <w:rPr>
          <w:rFonts w:hint="eastAsia"/>
        </w:rPr>
        <w:t xml:space="preserve">（相对现价</w:t>
      </w:r>
      <w:r>
        <w:t xml:space="preserve"> </w:t>
      </w:r>
      <w:r>
        <w:rPr>
          <w:rFonts w:hint="eastAsia"/>
        </w:rPr>
        <w:t xml:space="preserve">54.9%）。</w:t>
      </w:r>
    </w:p>
    <w:bookmarkEnd w:id="15"/>
    <w:bookmarkStart w:id="16" w:name="估值-dcf-reverse-dcf-roic-wacc-同业-敏感度"/>
    <w:p>
      <w:pPr>
        <w:pStyle w:val="Heading2"/>
      </w:pPr>
      <w:r>
        <w:t xml:space="preserve">8. </w:t>
      </w:r>
      <w:r>
        <w:rPr>
          <w:rFonts w:hint="eastAsia"/>
        </w:rPr>
        <w:t xml:space="preserve">估值:</w:t>
      </w:r>
      <w:r>
        <w:t xml:space="preserve"> DCF / Reverse DCF / ROIC-WACC / </w:t>
      </w:r>
      <w:r>
        <w:rPr>
          <w:rFonts w:hint="eastAsia"/>
        </w:rPr>
        <w:t xml:space="preserve">同业</w:t>
      </w:r>
      <w:r>
        <w:t xml:space="preserve"> / </w:t>
      </w:r>
      <w:r>
        <w:rPr>
          <w:rFonts w:hint="eastAsia"/>
        </w:rPr>
        <w:t xml:space="preserve">敏感度</w:t>
      </w:r>
    </w:p>
    <w:p>
      <w:pPr>
        <w:numPr>
          <w:ilvl w:val="0"/>
          <w:numId w:val="1005"/>
        </w:numPr>
      </w:pPr>
      <w:r>
        <w:t xml:space="preserve">DCF Base: EV 1,218.2 bn </w:t>
      </w:r>
      <w:r>
        <w:rPr>
          <w:rFonts w:hint="eastAsia"/>
        </w:rPr>
        <w:t xml:space="preserve">USD；终值占比</w:t>
      </w:r>
      <w:r>
        <w:t xml:space="preserve"> 57.1%。</w:t>
      </w:r>
    </w:p>
    <w:p>
      <w:pPr>
        <w:numPr>
          <w:ilvl w:val="0"/>
          <w:numId w:val="1005"/>
        </w:numPr>
      </w:pPr>
      <w:r>
        <w:rPr>
          <w:b/>
          <w:bCs/>
        </w:rPr>
        <w:t xml:space="preserve">Reverse DCF </w:t>
      </w:r>
      <w:r>
        <w:rPr>
          <w:rFonts w:hint="eastAsia"/>
          <w:b/>
          <w:bCs/>
        </w:rPr>
        <w:t xml:space="preserve">反向DCF</w:t>
      </w:r>
      <w:r>
        <w:t xml:space="preserve">: </w:t>
      </w:r>
      <w:r>
        <w:rPr>
          <w:rFonts w:hint="eastAsia"/>
        </w:rPr>
        <w:t xml:space="preserve">在Base利润率与WACC下，现价隐含Y1收入增速</w:t>
      </w:r>
      <w:r>
        <w:t xml:space="preserve"> ≈</w:t>
      </w:r>
      <w:r>
        <w:t xml:space="preserve"> </w:t>
      </w:r>
      <w:r>
        <w:rPr>
          <w:b/>
          <w:bCs/>
        </w:rPr>
        <w:t xml:space="preserve">65.6%</w:t>
      </w:r>
      <w:r>
        <w:rPr>
          <w:rFonts w:hint="eastAsia"/>
        </w:rPr>
        <w:t xml:space="preserve">；一致预期FY+1增速</w:t>
      </w:r>
      <w:r>
        <w:t xml:space="preserve"> 74.6%。</w:t>
      </w:r>
    </w:p>
    <w:p>
      <w:pPr>
        <w:numPr>
          <w:ilvl w:val="0"/>
          <w:numId w:val="1005"/>
        </w:numPr>
      </w:pPr>
      <w:r>
        <w:t xml:space="preserve">WACC (CAPM) = rf 5.2% + β 1.60 × ERP 5.0% = 13.2%。</w:t>
      </w:r>
    </w:p>
    <w:p>
      <w:pPr>
        <w:numPr>
          <w:ilvl w:val="0"/>
          <w:numId w:val="1005"/>
        </w:numPr>
      </w:pPr>
      <w:r>
        <w:t xml:space="preserve">SOTP segments </w:t>
      </w:r>
      <w:r>
        <w:rPr>
          <w:rFonts w:hint="eastAsia"/>
        </w:rPr>
        <w:t xml:space="preserve">分部:</w:t>
      </w:r>
      <w:r>
        <w:t xml:space="preserve"> Data Center (EPYC+Instinct) </w:t>
      </w:r>
      <w:r>
        <w:rPr>
          <w:rFonts w:hint="eastAsia"/>
        </w:rPr>
        <w:t xml:space="preserve">数据中心;</w:t>
      </w:r>
      <w:r>
        <w:t xml:space="preserve"> Client </w:t>
      </w:r>
      <w:r>
        <w:rPr>
          <w:rFonts w:hint="eastAsia"/>
        </w:rPr>
        <w:t xml:space="preserve">客户端;</w:t>
      </w:r>
      <w:r>
        <w:t xml:space="preserve"> Gaming </w:t>
      </w:r>
      <w:r>
        <w:rPr>
          <w:rFonts w:hint="eastAsia"/>
        </w:rPr>
        <w:t xml:space="preserve">游戏;</w:t>
      </w:r>
      <w:r>
        <w:t xml:space="preserve"> Embedded </w:t>
      </w:r>
      <w:r>
        <w:rPr>
          <w:rFonts w:hint="eastAsia"/>
        </w:rPr>
        <w:t xml:space="preserve">嵌入式.</w:t>
      </w:r>
      <w:r>
        <w:t xml:space="preserve"> </w:t>
      </w:r>
      <w:r>
        <w:rPr>
          <w:b/>
          <w:bCs/>
        </w:rPr>
        <w:t xml:space="preserve">Status: framework only</w:t>
      </w:r>
      <w:r>
        <w:t xml:space="preserve"> </w:t>
      </w:r>
      <w:r>
        <w:t xml:space="preserve">— segment revenues are INPUT REQUIRED from the latest 10-K/10-Q segment note (not auto-fed, left blank to avoid </w:t>
      </w:r>
      <w:r>
        <w:rPr>
          <w:rFonts w:hint="eastAsia"/>
        </w:rPr>
        <w:t xml:space="preserve">fabrication)｜分部收入需按最新财报手动录入，未自动填充以避免编造。</w:t>
      </w:r>
    </w:p>
    <w:p>
      <w:pPr>
        <w:numPr>
          <w:ilvl w:val="0"/>
          <w:numId w:val="1005"/>
        </w:numPr>
      </w:pPr>
      <w:r>
        <w:rPr>
          <w:rFonts w:hint="eastAsia"/>
        </w:rPr>
        <w:t xml:space="preserve">同业比较</w:t>
      </w:r>
      <w:r>
        <w:t xml:space="preserve"> Comps (DATA):</w:t>
      </w:r>
      <w:r>
        <w:t xml:space="preserve"> </w:t>
      </w:r>
      <w:r>
        <w:t xml:space="preserve">| Ticker | </w:t>
      </w:r>
      <w:r>
        <w:rPr>
          <w:rFonts w:hint="eastAsia"/>
        </w:rPr>
        <w:t xml:space="preserve">市值</w:t>
      </w:r>
      <w:r>
        <w:t xml:space="preserve"> | EV/Sales | Fwd P/E | </w:t>
      </w:r>
      <w:r>
        <w:rPr>
          <w:rFonts w:hint="eastAsia"/>
        </w:rPr>
        <w:t xml:space="preserve">收入增速</w:t>
      </w:r>
      <w:r>
        <w:t xml:space="preserve"> | </w:t>
      </w:r>
      <w:r>
        <w:rPr>
          <w:rFonts w:hint="eastAsia"/>
        </w:rPr>
        <w:t xml:space="preserve">毛利率</w:t>
      </w:r>
      <w:r>
        <w:t xml:space="preserve"> | </w:t>
      </w:r>
      <w:r>
        <w:rPr>
          <w:rFonts w:hint="eastAsia"/>
        </w:rPr>
        <w:t xml:space="preserve">FCF收益率</w:t>
      </w:r>
      <w:r>
        <w:t xml:space="preserve"> |</w:t>
      </w:r>
      <w:r>
        <w:t xml:space="preserve"> </w:t>
      </w:r>
      <w:r>
        <w:t xml:space="preserve">|—|—|—|—|—|—|—|</w:t>
      </w:r>
      <w:r>
        <w:t xml:space="preserve"> </w:t>
      </w:r>
      <w:r>
        <w:t xml:space="preserve">| AMD | 931.8 bn USD | 22.3x | 36.3x | 50.1% | 55.7% | 0.9% |</w:t>
      </w:r>
      <w:r>
        <w:t xml:space="preserve"> </w:t>
      </w:r>
      <w:r>
        <w:t xml:space="preserve">| NVDA | 5,343.7 bn USD | 17.5x | 13.9x | 105.9% | 74.7% | 0.8% |</w:t>
      </w:r>
      <w:r>
        <w:t xml:space="preserve"> </w:t>
      </w:r>
      <w:r>
        <w:t xml:space="preserve">| INTC | 518.7 bn USD | 9.3x | 46.9x | 25.4% | 38.9% | 0.9% |</w:t>
      </w:r>
      <w:r>
        <w:t xml:space="preserve"> </w:t>
      </w:r>
      <w:r>
        <w:t xml:space="preserve">| AVGO | 1,652.9 bn USD | 18.9x | 17.9x | 85.5% | 75.5% | 1.9% |</w:t>
      </w:r>
      <w:r>
        <w:t xml:space="preserve"> </w:t>
      </w:r>
      <w:r>
        <w:t xml:space="preserve">| ARM | 254.2 bn USD | 48.6x | 77.7x | 22.4% | 97.5% | 0.5% |</w:t>
      </w:r>
    </w:p>
    <w:p>
      <w:pPr>
        <w:numPr>
          <w:ilvl w:val="0"/>
          <w:numId w:val="1005"/>
        </w:numPr>
      </w:pPr>
      <w:r>
        <w:rPr>
          <w:rFonts w:hint="eastAsia"/>
        </w:rPr>
        <w:t xml:space="preserve">敏感度:</w:t>
      </w:r>
      <w:r>
        <w:t xml:space="preserve"> </w:t>
      </w:r>
      <w:r>
        <w:rPr>
          <w:rFonts w:hint="eastAsia"/>
        </w:rPr>
        <w:t xml:space="preserve">见Excel</w:t>
      </w:r>
      <w:r>
        <w:t xml:space="preserve"> </w:t>
      </w:r>
      <w:r>
        <w:rPr>
          <w:rStyle w:val="VerbatimChar"/>
        </w:rPr>
        <w:t xml:space="preserve">Sensitivity</w:t>
      </w:r>
      <w:r>
        <w:t xml:space="preserve"> </w:t>
      </w:r>
      <w:r>
        <w:rPr>
          <w:rFonts w:hint="eastAsia"/>
        </w:rPr>
        <w:t xml:space="preserve">表</w:t>
      </w:r>
      <w:r>
        <w:t xml:space="preserve"> (WACC × </w:t>
      </w:r>
      <w:r>
        <w:rPr>
          <w:rFonts w:hint="eastAsia"/>
        </w:rPr>
        <w:t xml:space="preserve">永续增长率)。</w:t>
      </w:r>
    </w:p>
    <w:bookmarkEnd w:id="16"/>
    <w:bookmarkStart w:id="17" w:name="风险反方论证与证伪"/>
    <w:p>
      <w:pPr>
        <w:pStyle w:val="Heading2"/>
      </w:pPr>
      <w:r>
        <w:t xml:space="preserve">9. </w:t>
      </w:r>
      <w:r>
        <w:rPr>
          <w:rFonts w:hint="eastAsia"/>
        </w:rPr>
        <w:t xml:space="preserve">风险、反方论证与证伪</w:t>
      </w:r>
    </w:p>
    <w:p>
      <w:pPr>
        <w:pStyle w:val="Compact"/>
        <w:numPr>
          <w:ilvl w:val="0"/>
          <w:numId w:val="1006"/>
        </w:numPr>
      </w:pPr>
      <w:r>
        <w:rPr>
          <w:rFonts w:hint="eastAsia"/>
        </w:rPr>
        <w:t xml:space="preserve">反方观点</w:t>
      </w:r>
      <w:r>
        <w:t xml:space="preserve"> Counter-thesis: Delays; NVDA price aggression; client PC slowdown from memory </w:t>
      </w:r>
      <w:r>
        <w:rPr>
          <w:rFonts w:hint="eastAsia"/>
        </w:rPr>
        <w:t xml:space="preserve">costs｜延期；NVDA压价；存储涨价拖累PC</w:t>
      </w:r>
    </w:p>
    <w:p>
      <w:pPr>
        <w:pStyle w:val="Compact"/>
        <w:numPr>
          <w:ilvl w:val="0"/>
          <w:numId w:val="1006"/>
        </w:numPr>
      </w:pPr>
      <w:r>
        <w:rPr>
          <w:rFonts w:hint="eastAsia"/>
        </w:rPr>
        <w:t xml:space="preserve">证伪指标:</w:t>
      </w:r>
      <w:r>
        <w:t xml:space="preserve"> DC GPU revenue below guide; Helios slips past </w:t>
      </w:r>
      <w:r>
        <w:rPr>
          <w:rFonts w:hint="eastAsia"/>
        </w:rPr>
        <w:t xml:space="preserve">2H26｜DC</w:t>
      </w:r>
      <w:r>
        <w:t xml:space="preserve"> </w:t>
      </w:r>
      <w:r>
        <w:rPr>
          <w:rFonts w:hint="eastAsia"/>
        </w:rPr>
        <w:t xml:space="preserve">GPU收入低于指引；Helios延后</w:t>
      </w:r>
    </w:p>
    <w:p>
      <w:pPr>
        <w:pStyle w:val="Compact"/>
        <w:numPr>
          <w:ilvl w:val="0"/>
          <w:numId w:val="1006"/>
        </w:numPr>
      </w:pPr>
      <w:r>
        <w:rPr>
          <w:rFonts w:hint="eastAsia"/>
        </w:rPr>
        <w:t xml:space="preserve">模型风险:</w:t>
      </w:r>
      <w:r>
        <w:t xml:space="preserve"> </w:t>
      </w:r>
      <w:r>
        <w:rPr>
          <w:rFonts w:hint="eastAsia"/>
        </w:rPr>
        <w:t xml:space="preserve">长期利润率与WACC为假设；终值占比高时估值对假设极敏感。</w:t>
      </w:r>
    </w:p>
    <w:bookmarkEnd w:id="17"/>
    <w:bookmarkStart w:id="18" w:name="source-ledger-来源账本"/>
    <w:p>
      <w:pPr>
        <w:pStyle w:val="Heading2"/>
      </w:pPr>
      <w:r>
        <w:t xml:space="preserve">10. Source Ledger </w:t>
      </w:r>
      <w:r>
        <w:rPr>
          <w:rFonts w:hint="eastAsia"/>
        </w:rPr>
        <w:t xml:space="preserve">来源账本</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Value</w:t>
            </w:r>
          </w:p>
        </w:tc>
        <w:tc>
          <w:tcPr/>
          <w:p>
            <w:pPr>
              <w:pStyle w:val="Compact"/>
            </w:pPr>
            <w:r>
              <w:t xml:space="preserve">Source/time</w:t>
            </w:r>
          </w:p>
        </w:tc>
      </w:tr>
      <w:tr>
        <w:tc>
          <w:tcPr/>
          <w:p>
            <w:pPr>
              <w:pStyle w:val="Compact"/>
            </w:pPr>
            <w:r>
              <w:t xml:space="preserve">Price </w:t>
            </w:r>
            <w:r>
              <w:rPr>
                <w:rFonts w:hint="eastAsia"/>
              </w:rPr>
              <w:t xml:space="preserve">股价</w:t>
            </w:r>
          </w:p>
        </w:tc>
        <w:tc>
          <w:tcPr/>
          <w:p>
            <w:pPr>
              <w:pStyle w:val="Compact"/>
            </w:pPr>
            <w:r>
              <w:t xml:space="preserve">570.8</w:t>
            </w:r>
          </w:p>
        </w:tc>
        <w:tc>
          <w:tcPr/>
          <w:p>
            <w:pPr>
              <w:pStyle w:val="Compact"/>
            </w:pPr>
            <w:r>
              <w:t xml:space="preserve">Yahoo Finance quote, fetched 2026-10-15T07:57 SGT</w:t>
            </w:r>
          </w:p>
        </w:tc>
      </w:tr>
      <w:tr>
        <w:tc>
          <w:tcPr/>
          <w:p>
            <w:pPr>
              <w:pStyle w:val="Compact"/>
            </w:pPr>
            <w:r>
              <w:t xml:space="preserve">Market cap </w:t>
            </w:r>
            <w:r>
              <w:rPr>
                <w:rFonts w:hint="eastAsia"/>
              </w:rPr>
              <w:t xml:space="preserve">市值</w:t>
            </w:r>
          </w:p>
        </w:tc>
        <w:tc>
          <w:tcPr/>
          <w:p>
            <w:pPr>
              <w:pStyle w:val="Compact"/>
            </w:pPr>
            <w:r>
              <w:t xml:space="preserve">9.318e+11</w:t>
            </w:r>
          </w:p>
        </w:tc>
        <w:tc>
          <w:tcPr/>
          <w:p>
            <w:pPr>
              <w:pStyle w:val="Compact"/>
            </w:pPr>
            <w:r>
              <w:t xml:space="preserve">Yahoo info.marketCap 2026-10-15T07:57</w:t>
            </w:r>
          </w:p>
        </w:tc>
      </w:tr>
      <w:tr>
        <w:tc>
          <w:tcPr/>
          <w:p>
            <w:pPr>
              <w:pStyle w:val="Compact"/>
            </w:pPr>
            <w:r>
              <w:t xml:space="preserve">Cash </w:t>
            </w:r>
            <w:r>
              <w:rPr>
                <w:rFonts w:hint="eastAsia"/>
              </w:rPr>
              <w:t xml:space="preserve">现金</w:t>
            </w:r>
          </w:p>
        </w:tc>
        <w:tc>
          <w:tcPr/>
          <w:p>
            <w:pPr>
              <w:pStyle w:val="Compact"/>
            </w:pPr>
            <w:r>
              <w:t xml:space="preserve">1.311e+10</w:t>
            </w:r>
          </w:p>
        </w:tc>
        <w:tc>
          <w:tcPr/>
          <w:p>
            <w:pPr>
              <w:pStyle w:val="Compact"/>
            </w:pPr>
            <w:r>
              <w:t xml:space="preserve">Yahoo info.totalCash (latest filing) 2026-10-15T07:57</w:t>
            </w:r>
          </w:p>
        </w:tc>
      </w:tr>
      <w:tr>
        <w:tc>
          <w:tcPr/>
          <w:p>
            <w:pPr>
              <w:pStyle w:val="Compact"/>
            </w:pPr>
            <w:r>
              <w:t xml:space="preserve">Debt </w:t>
            </w:r>
            <w:r>
              <w:rPr>
                <w:rFonts w:hint="eastAsia"/>
              </w:rPr>
              <w:t xml:space="preserve">负债</w:t>
            </w:r>
          </w:p>
        </w:tc>
        <w:tc>
          <w:tcPr/>
          <w:p>
            <w:pPr>
              <w:pStyle w:val="Compact"/>
            </w:pPr>
            <w:r>
              <w:t xml:space="preserve">4.276e+09</w:t>
            </w:r>
          </w:p>
        </w:tc>
        <w:tc>
          <w:tcPr/>
          <w:p>
            <w:pPr>
              <w:pStyle w:val="Compact"/>
            </w:pPr>
            <w:r>
              <w:t xml:space="preserve">Yahoo info.totalDebt (latest filing) 2026-10-15T07:57</w:t>
            </w:r>
          </w:p>
        </w:tc>
      </w:tr>
      <w:tr>
        <w:tc>
          <w:tcPr/>
          <w:p>
            <w:pPr>
              <w:pStyle w:val="Compact"/>
            </w:pPr>
            <w:r>
              <w:t xml:space="preserve">Revenue TTM </w:t>
            </w:r>
            <w:r>
              <w:rPr>
                <w:rFonts w:hint="eastAsia"/>
              </w:rPr>
              <w:t xml:space="preserve">收入</w:t>
            </w:r>
          </w:p>
        </w:tc>
        <w:tc>
          <w:tcPr/>
          <w:p>
            <w:pPr>
              <w:pStyle w:val="Compact"/>
            </w:pPr>
            <w:r>
              <w:t xml:space="preserve">4.131e+10</w:t>
            </w:r>
          </w:p>
        </w:tc>
        <w:tc>
          <w:tcPr/>
          <w:p>
            <w:pPr>
              <w:pStyle w:val="Compact"/>
            </w:pPr>
            <w:r>
              <w:t xml:space="preserve">Yahoo info.totalRevenue (TTM, USD) 2026-10-15T07:57</w:t>
            </w:r>
          </w:p>
        </w:tc>
      </w:tr>
      <w:tr>
        <w:tc>
          <w:tcPr/>
          <w:p>
            <w:pPr>
              <w:pStyle w:val="Compact"/>
            </w:pPr>
            <w:r>
              <w:t xml:space="preserve">FCF TTM </w:t>
            </w:r>
            <w:r>
              <w:rPr>
                <w:rFonts w:hint="eastAsia"/>
              </w:rPr>
              <w:t xml:space="preserve">自由现金流</w:t>
            </w:r>
          </w:p>
        </w:tc>
        <w:tc>
          <w:tcPr/>
          <w:p>
            <w:pPr>
              <w:pStyle w:val="Compact"/>
            </w:pPr>
            <w:r>
              <w:t xml:space="preserve">8.403e+09</w:t>
            </w:r>
          </w:p>
        </w:tc>
        <w:tc>
          <w:tcPr/>
          <w:p>
            <w:pPr>
              <w:pStyle w:val="Compact"/>
            </w:pPr>
            <w:r>
              <w:t xml:space="preserve">Sum of last 4 quarterly FCF (q_cash); quarters [</w:t>
            </w:r>
            <w:r>
              <w:t xml:space="preserve">‘2026-06-30’</w:t>
            </w:r>
            <w:r>
              <w:t xml:space="preserve">,</w:t>
            </w:r>
            <w:r>
              <w:t xml:space="preserve"> </w:t>
            </w:r>
            <w:r>
              <w:t xml:space="preserve">‘2026-03-31’</w:t>
            </w:r>
            <w:r>
              <w:t xml:space="preserve">,</w:t>
            </w:r>
            <w:r>
              <w:t xml:space="preserve"> </w:t>
            </w:r>
            <w:r>
              <w:t xml:space="preserve">‘2025-12-31’</w:t>
            </w:r>
            <w:r>
              <w:t xml:space="preserve">,</w:t>
            </w:r>
            <w:r>
              <w:t xml:space="preserve"> </w:t>
            </w:r>
            <w:r>
              <w:t xml:space="preserve">‘2025-09-30’</w:t>
            </w:r>
            <w:r>
              <w:t xml:space="preserve">] (USD)</w:t>
            </w:r>
          </w:p>
        </w:tc>
      </w:tr>
      <w:tr>
        <w:tc>
          <w:tcPr/>
          <w:p>
            <w:pPr>
              <w:pStyle w:val="Compact"/>
            </w:pPr>
            <w:r>
              <w:t xml:space="preserve">Beta</w:t>
            </w:r>
          </w:p>
        </w:tc>
        <w:tc>
          <w:tcPr/>
          <w:p>
            <w:pPr>
              <w:pStyle w:val="Compact"/>
            </w:pPr>
            <w:r>
              <w:t xml:space="preserve">2.454</w:t>
            </w:r>
          </w:p>
        </w:tc>
        <w:tc>
          <w:tcPr/>
          <w:p>
            <w:pPr>
              <w:pStyle w:val="Compact"/>
            </w:pPr>
            <w:r>
              <w:t xml:space="preserve">Yahoo info.beta (5Y monthly)</w:t>
            </w:r>
          </w:p>
        </w:tc>
      </w:tr>
      <w:tr>
        <w:tc>
          <w:tcPr/>
          <w:p>
            <w:pPr>
              <w:pStyle w:val="Compact"/>
            </w:pPr>
            <w:r>
              <w:t xml:space="preserve">Risk-free 10Y </w:t>
            </w:r>
            <w:r>
              <w:rPr>
                <w:rFonts w:hint="eastAsia"/>
              </w:rPr>
              <w:t xml:space="preserve">无风险利率</w:t>
            </w:r>
          </w:p>
        </w:tc>
        <w:tc>
          <w:tcPr/>
          <w:p>
            <w:pPr>
              <w:pStyle w:val="Compact"/>
            </w:pPr>
            <w:r>
              <w:t xml:space="preserve">0.0521</w:t>
            </w:r>
          </w:p>
        </w:tc>
        <w:tc>
          <w:tcPr/>
          <w:p>
            <w:pPr>
              <w:pStyle w:val="Compact"/>
            </w:pPr>
            <w:r>
              <w:t xml:space="preserve">FRED DGS10 2026-10-13</w:t>
            </w:r>
          </w:p>
        </w:tc>
      </w:tr>
      <w:tr>
        <w:tc>
          <w:tcPr/>
          <w:p>
            <w:pPr>
              <w:pStyle w:val="Compact"/>
            </w:pPr>
            <w:r>
              <w:t xml:space="preserve">FX USD per USD</w:t>
            </w:r>
          </w:p>
        </w:tc>
        <w:tc>
          <w:tcPr/>
          <w:p>
            <w:pPr>
              <w:pStyle w:val="Compact"/>
            </w:pPr>
            <w:r>
              <w:t xml:space="preserve">1</w:t>
            </w:r>
          </w:p>
        </w:tc>
        <w:tc>
          <w:tcPr/>
          <w:p>
            <w:pPr>
              <w:pStyle w:val="Compact"/>
            </w:pPr>
            <w:r>
              <w:t xml:space="preserve">n/a (USD)</w:t>
            </w:r>
          </w:p>
        </w:tc>
      </w:tr>
      <w:tr>
        <w:tc>
          <w:tcPr/>
          <w:p>
            <w:pPr>
              <w:pStyle w:val="Compact"/>
            </w:pPr>
            <w:r>
              <w:t xml:space="preserve">Consensus rev growth FY0</w:t>
            </w:r>
          </w:p>
        </w:tc>
        <w:tc>
          <w:tcPr/>
          <w:p>
            <w:pPr>
              <w:pStyle w:val="Compact"/>
            </w:pPr>
            <w:r>
              <w:t xml:space="preserve">0.4708</w:t>
            </w:r>
          </w:p>
        </w:tc>
        <w:tc>
          <w:tcPr/>
          <w:p>
            <w:pPr>
              <w:pStyle w:val="Compact"/>
            </w:pPr>
            <w:r>
              <w:t xml:space="preserve">Yahoo revenue_estimate 0y</w:t>
            </w:r>
          </w:p>
        </w:tc>
      </w:tr>
      <w:tr>
        <w:tc>
          <w:tcPr/>
          <w:p>
            <w:pPr>
              <w:pStyle w:val="Compact"/>
            </w:pPr>
            <w:r>
              <w:t xml:space="preserve">Consensus rev growth FY+1</w:t>
            </w:r>
          </w:p>
        </w:tc>
        <w:tc>
          <w:tcPr/>
          <w:p>
            <w:pPr>
              <w:pStyle w:val="Compact"/>
            </w:pPr>
            <w:r>
              <w:t xml:space="preserve">0.7457</w:t>
            </w:r>
          </w:p>
        </w:tc>
        <w:tc>
          <w:tcPr/>
          <w:p>
            <w:pPr>
              <w:pStyle w:val="Compact"/>
            </w:pPr>
            <w:r>
              <w:t xml:space="preserve">Yahoo revenue_estimate +1y</w:t>
            </w:r>
          </w:p>
        </w:tc>
      </w:tr>
    </w:tbl>
    <w:bookmarkEnd w:id="18"/>
    <w:bookmarkStart w:id="19" w:name="assumption-register-假设登记表"/>
    <w:p>
      <w:pPr>
        <w:pStyle w:val="Heading2"/>
      </w:pPr>
      <w:r>
        <w:t xml:space="preserve">11. Assumption Register </w:t>
      </w:r>
      <w:r>
        <w:rPr>
          <w:rFonts w:hint="eastAsia"/>
        </w:rPr>
        <w:t xml:space="preserve">假设登记表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Assumption</w:t>
            </w:r>
          </w:p>
        </w:tc>
        <w:tc>
          <w:tcPr/>
          <w:p>
            <w:pPr>
              <w:pStyle w:val="Compact"/>
            </w:pPr>
            <w:r>
              <w:t xml:space="preserve">Value</w:t>
            </w:r>
          </w:p>
        </w:tc>
        <w:tc>
          <w:tcPr/>
          <w:p>
            <w:pPr>
              <w:pStyle w:val="Compact"/>
            </w:pPr>
            <w:r>
              <w:t xml:space="preserve">Rationale</w:t>
            </w:r>
          </w:p>
        </w:tc>
      </w:tr>
      <w:tr>
        <w:tc>
          <w:tcPr/>
          <w:p>
            <w:pPr>
              <w:pStyle w:val="Compact"/>
            </w:pPr>
            <w:r>
              <w:t xml:space="preserve">ERP </w:t>
            </w:r>
            <w:r>
              <w:rPr>
                <w:rFonts w:hint="eastAsia"/>
              </w:rPr>
              <w:t xml:space="preserve">股权风险溢价</w:t>
            </w:r>
          </w:p>
        </w:tc>
        <w:tc>
          <w:tcPr/>
          <w:p>
            <w:pPr>
              <w:pStyle w:val="Compact"/>
            </w:pPr>
            <w:r>
              <w:t xml:space="preserve">0.05</w:t>
            </w:r>
          </w:p>
        </w:tc>
        <w:tc>
          <w:tcPr/>
          <w:p>
            <w:pPr>
              <w:pStyle w:val="Compact"/>
            </w:pPr>
            <w:r>
              <w:t xml:space="preserve">ASSUMPTION: 5.0% house mature-market ERP</w:t>
            </w:r>
          </w:p>
        </w:tc>
      </w:tr>
      <w:tr>
        <w:tc>
          <w:tcPr/>
          <w:p>
            <w:pPr>
              <w:pStyle w:val="Compact"/>
            </w:pPr>
            <w:r>
              <w:t xml:space="preserve">Beta clamp</w:t>
            </w:r>
          </w:p>
        </w:tc>
        <w:tc>
          <w:tcPr/>
          <w:p>
            <w:pPr>
              <w:pStyle w:val="Compact"/>
            </w:pPr>
            <w:r>
              <w:t xml:space="preserve">[0.8,1.6] → 1.60</w:t>
            </w:r>
          </w:p>
        </w:tc>
        <w:tc>
          <w:tcPr/>
          <w:p>
            <w:pPr>
              <w:pStyle w:val="Compact"/>
            </w:pPr>
            <w:r>
              <w:t xml:space="preserve">ASSUMPTION: limit extreme betas</w:t>
            </w:r>
          </w:p>
        </w:tc>
      </w:tr>
      <w:tr>
        <w:tc>
          <w:tcPr/>
          <w:p>
            <w:pPr>
              <w:pStyle w:val="Compact"/>
            </w:pPr>
            <w:r>
              <w:t xml:space="preserve">Tax rate (ROIC)</w:t>
            </w:r>
          </w:p>
        </w:tc>
        <w:tc>
          <w:tcPr/>
          <w:p>
            <w:pPr>
              <w:pStyle w:val="Compact"/>
            </w:pPr>
            <w:r>
              <w:t xml:space="preserve">0.18</w:t>
            </w:r>
          </w:p>
        </w:tc>
        <w:tc>
          <w:tcPr/>
          <w:p>
            <w:pPr>
              <w:pStyle w:val="Compact"/>
            </w:pPr>
            <w:r>
              <w:t xml:space="preserve">ASSUMPTION: blended cash tax 18%</w:t>
            </w:r>
          </w:p>
        </w:tc>
      </w:tr>
      <w:tr>
        <w:tc>
          <w:tcPr/>
          <w:p>
            <w:pPr>
              <w:pStyle w:val="Compact"/>
            </w:pPr>
            <w:r>
              <w:t xml:space="preserve">Year-1 growth (Base)</w:t>
            </w:r>
          </w:p>
        </w:tc>
        <w:tc>
          <w:tcPr/>
          <w:p>
            <w:pPr>
              <w:pStyle w:val="Compact"/>
            </w:pPr>
            <w:r>
              <w:t xml:space="preserve">0.7457</w:t>
            </w:r>
          </w:p>
        </w:tc>
        <w:tc>
          <w:tcPr/>
          <w:p>
            <w:pPr>
              <w:pStyle w:val="Compact"/>
            </w:pPr>
            <w:r>
              <w:t xml:space="preserve">Consensus FY+1 revenue growth (Yahoo revenue_estimate</w:t>
            </w:r>
            <w:r>
              <w:t xml:space="preserve"> </w:t>
            </w:r>
            <w:r>
              <w:t xml:space="preserve">‘+1y’</w:t>
            </w:r>
            <w:r>
              <w:t xml:space="preserve">); capped at 100%</w:t>
            </w:r>
          </w:p>
        </w:tc>
      </w:tr>
      <w:tr>
        <w:tc>
          <w:tcPr/>
          <w:p>
            <w:pPr>
              <w:pStyle w:val="Compact"/>
            </w:pPr>
            <w:r>
              <w:t xml:space="preserve">Growth fade</w:t>
            </w:r>
          </w:p>
        </w:tc>
        <w:tc>
          <w:tcPr/>
          <w:p>
            <w:pPr>
              <w:pStyle w:val="Compact"/>
            </w:pPr>
            <w:r>
              <w:t xml:space="preserve">linear Y1→terminal by Y10</w:t>
            </w:r>
          </w:p>
        </w:tc>
        <w:tc>
          <w:tcPr/>
          <w:p>
            <w:pPr>
              <w:pStyle w:val="Compact"/>
            </w:pPr>
            <w:r>
              <w:t xml:space="preserve">ASSUMPTION</w:t>
            </w:r>
          </w:p>
        </w:tc>
      </w:tr>
      <w:tr>
        <w:tc>
          <w:tcPr/>
          <w:p>
            <w:pPr>
              <w:pStyle w:val="Compact"/>
            </w:pPr>
            <w:r>
              <w:t xml:space="preserve">Starting FCF margin</w:t>
            </w:r>
          </w:p>
        </w:tc>
        <w:tc>
          <w:tcPr/>
          <w:p>
            <w:pPr>
              <w:pStyle w:val="Compact"/>
            </w:pPr>
            <w:r>
              <w:t xml:space="preserve">0.2034</w:t>
            </w:r>
          </w:p>
        </w:tc>
        <w:tc>
          <w:tcPr/>
          <w:p>
            <w:pPr>
              <w:pStyle w:val="Compact"/>
            </w:pPr>
            <w:r>
              <w:t xml:space="preserve">DATA: FCF TTM / Revenue TTM, floored -50%</w:t>
            </w:r>
          </w:p>
        </w:tc>
      </w:tr>
      <w:tr>
        <w:tc>
          <w:tcPr/>
          <w:p>
            <w:pPr>
              <w:pStyle w:val="Compact"/>
            </w:pPr>
            <w:r>
              <w:t xml:space="preserve">Long-run FCF margin (Base)</w:t>
            </w:r>
          </w:p>
        </w:tc>
        <w:tc>
          <w:tcPr/>
          <w:p>
            <w:pPr>
              <w:pStyle w:val="Compact"/>
            </w:pPr>
            <w:r>
              <w:t xml:space="preserve">0.25</w:t>
            </w:r>
          </w:p>
        </w:tc>
        <w:tc>
          <w:tcPr/>
          <w:p>
            <w:pPr>
              <w:pStyle w:val="Compact"/>
            </w:pPr>
            <w:r>
              <w:t xml:space="preserve">ASSUMPTION (analyst framework, reached by Y5; see profile)</w:t>
            </w:r>
          </w:p>
        </w:tc>
      </w:tr>
      <w:tr>
        <w:tc>
          <w:tcPr/>
          <w:p>
            <w:pPr>
              <w:pStyle w:val="Compact"/>
            </w:pPr>
            <w:r>
              <w:t xml:space="preserve">Bear/Bull Y1 growth multiplier</w:t>
            </w:r>
          </w:p>
        </w:tc>
        <w:tc>
          <w:tcPr/>
          <w:p>
            <w:pPr>
              <w:pStyle w:val="Compact"/>
            </w:pPr>
            <w:r>
              <w:t xml:space="preserve">0.5x / 1.3x</w:t>
            </w:r>
          </w:p>
        </w:tc>
        <w:tc>
          <w:tcPr/>
          <w:p>
            <w:pPr>
              <w:pStyle w:val="Compact"/>
            </w:pPr>
            <w:r>
              <w:t xml:space="preserve">ASSUMPTION</w:t>
            </w:r>
          </w:p>
        </w:tc>
      </w:tr>
      <w:tr>
        <w:tc>
          <w:tcPr/>
          <w:p>
            <w:pPr>
              <w:pStyle w:val="Compact"/>
            </w:pPr>
            <w:r>
              <w:t xml:space="preserve">Bear/Bull margin multiplier</w:t>
            </w:r>
          </w:p>
        </w:tc>
        <w:tc>
          <w:tcPr/>
          <w:p>
            <w:pPr>
              <w:pStyle w:val="Compact"/>
            </w:pPr>
            <w:r>
              <w:t xml:space="preserve">0.8x / 1.15x</w:t>
            </w:r>
          </w:p>
        </w:tc>
        <w:tc>
          <w:tcPr/>
          <w:p>
            <w:pPr>
              <w:pStyle w:val="Compact"/>
            </w:pPr>
            <w:r>
              <w:t xml:space="preserve">ASSUMPTION</w:t>
            </w:r>
          </w:p>
        </w:tc>
      </w:tr>
      <w:tr>
        <w:tc>
          <w:tcPr/>
          <w:p>
            <w:pPr>
              <w:pStyle w:val="Compact"/>
            </w:pPr>
            <w:r>
              <w:t xml:space="preserve">WACC adj Bear/Bull</w:t>
            </w:r>
          </w:p>
        </w:tc>
        <w:tc>
          <w:tcPr/>
          <w:p>
            <w:pPr>
              <w:pStyle w:val="Compact"/>
            </w:pPr>
            <w:r>
              <w:t xml:space="preserve">+1.0pp / -0.5pp</w:t>
            </w:r>
          </w:p>
        </w:tc>
        <w:tc>
          <w:tcPr/>
          <w:p>
            <w:pPr>
              <w:pStyle w:val="Compact"/>
            </w:pPr>
            <w:r>
              <w:t xml:space="preserve">ASSUMPTION</w:t>
            </w:r>
          </w:p>
        </w:tc>
      </w:tr>
      <w:tr>
        <w:tc>
          <w:tcPr/>
          <w:p>
            <w:pPr>
              <w:pStyle w:val="Compact"/>
            </w:pPr>
            <w:r>
              <w:t xml:space="preserve">Terminal g Bear/Base/Bull</w:t>
            </w:r>
          </w:p>
        </w:tc>
        <w:tc>
          <w:tcPr/>
          <w:p>
            <w:pPr>
              <w:pStyle w:val="Compact"/>
            </w:pPr>
            <w:r>
              <w:t xml:space="preserve">2.5% / 3.0% / 3.5%</w:t>
            </w:r>
          </w:p>
        </w:tc>
        <w:tc>
          <w:tcPr/>
          <w:p>
            <w:pPr>
              <w:pStyle w:val="Compact"/>
            </w:pPr>
            <w:r>
              <w:t xml:space="preserve">ASSUMPTION</w:t>
            </w:r>
          </w:p>
        </w:tc>
      </w:tr>
      <w:tr>
        <w:tc>
          <w:tcPr/>
          <w:p>
            <w:pPr>
              <w:pStyle w:val="Compact"/>
            </w:pPr>
            <w:r>
              <w:t xml:space="preserve">Scenario probabilities</w:t>
            </w:r>
          </w:p>
        </w:tc>
        <w:tc>
          <w:tcPr/>
          <w:p>
            <w:pPr>
              <w:pStyle w:val="Compact"/>
            </w:pPr>
            <w:r>
              <w:t xml:space="preserve">25% / 50% / 25%</w:t>
            </w:r>
          </w:p>
        </w:tc>
        <w:tc>
          <w:tcPr/>
          <w:p>
            <w:pPr>
              <w:pStyle w:val="Compact"/>
            </w:pPr>
            <w:r>
              <w:t xml:space="preserve">ASSUMPTION</w:t>
            </w:r>
          </w:p>
        </w:tc>
      </w:tr>
      <w:tr>
        <w:tc>
          <w:tcPr/>
          <w:p>
            <w:pPr>
              <w:pStyle w:val="Compact"/>
            </w:pPr>
            <w:r>
              <w:t xml:space="preserve">Horizon exit EV/NTM-FCF Bear/Base/Bull</w:t>
            </w:r>
          </w:p>
        </w:tc>
        <w:tc>
          <w:tcPr/>
          <w:p>
            <w:pPr>
              <w:pStyle w:val="Compact"/>
            </w:pPr>
            <w:r>
              <w:t xml:space="preserve">15x / 25x / 35x</w:t>
            </w:r>
          </w:p>
        </w:tc>
        <w:tc>
          <w:tcPr/>
          <w:p>
            <w:pPr>
              <w:pStyle w:val="Compact"/>
            </w:pPr>
            <w:r>
              <w:t xml:space="preserve">ASSUMPTION</w:t>
            </w:r>
          </w:p>
        </w:tc>
      </w:tr>
      <w:tr>
        <w:tc>
          <w:tcPr/>
          <w:p>
            <w:pPr>
              <w:pStyle w:val="Compact"/>
            </w:pPr>
            <w:r>
              <w:t xml:space="preserve">Per-share conversion</w:t>
            </w:r>
          </w:p>
        </w:tc>
        <w:tc>
          <w:tcPr/>
          <w:p>
            <w:pPr>
              <w:pStyle w:val="Compact"/>
            </w:pPr>
            <w:r>
              <w:t xml:space="preserve">value × fx ÷ market cap × price</w:t>
            </w:r>
          </w:p>
        </w:tc>
        <w:tc>
          <w:tcPr/>
          <w:p>
            <w:pPr>
              <w:pStyle w:val="Compact"/>
            </w:pPr>
            <w:r>
              <w:t xml:space="preserve">METHOD: avoids ADR/share-class mismatch</w:t>
            </w:r>
          </w:p>
        </w:tc>
      </w:tr>
    </w:tbl>
    <w:bookmarkEnd w:id="19"/>
    <w:bookmarkStart w:id="20" w:name="model-provenance-模型溯源"/>
    <w:p>
      <w:pPr>
        <w:pStyle w:val="Heading2"/>
      </w:pPr>
      <w:r>
        <w:t xml:space="preserve">12. Model Provenance </w:t>
      </w:r>
      <w:r>
        <w:rPr>
          <w:rFonts w:hint="eastAsia"/>
        </w:rPr>
        <w:t xml:space="preserve">模型溯源</w:t>
      </w:r>
    </w:p>
    <w:p>
      <w:pPr>
        <w:pStyle w:val="Compact"/>
        <w:numPr>
          <w:ilvl w:val="0"/>
          <w:numId w:val="1007"/>
        </w:numPr>
      </w:pPr>
      <w:r>
        <w:t xml:space="preserve">Model file:</w:t>
      </w:r>
      <w:r>
        <w:t xml:space="preserve"> </w:t>
      </w:r>
      <w:r>
        <w:rPr>
          <w:rStyle w:val="VerbatimChar"/>
        </w:rPr>
        <w:t xml:space="preserve">AMD_model_v20261015-0757.xlsx</w:t>
      </w:r>
      <w:r>
        <w:t xml:space="preserve"> </w:t>
      </w:r>
      <w:r>
        <w:t xml:space="preserve">(live formulas; sheets Inputs→Scenarios→DCF→ReverseDCF→Sensitivity→Horizons→SOTP→Comps→ROIC_WACC→History→Sources→Assumptions)</w:t>
      </w:r>
    </w:p>
    <w:p>
      <w:pPr>
        <w:pStyle w:val="Compact"/>
        <w:numPr>
          <w:ilvl w:val="0"/>
          <w:numId w:val="1007"/>
        </w:numPr>
      </w:pPr>
      <w:r>
        <w:t xml:space="preserve">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p>
    <w:p>
      <w:pPr>
        <w:pStyle w:val="Compact"/>
        <w:numPr>
          <w:ilvl w:val="0"/>
          <w:numId w:val="1007"/>
        </w:numPr>
      </w:pPr>
      <w:r>
        <w:t xml:space="preserve">Data snapshot:</w:t>
      </w:r>
      <w:r>
        <w:t xml:space="preserve"> </w:t>
      </w:r>
      <w:r>
        <w:rPr>
          <w:rStyle w:val="VerbatimChar"/>
        </w:rPr>
        <w:t xml:space="preserve">data/snapshots/20261015-0757</w:t>
      </w:r>
      <w:r>
        <w:t xml:space="preserve"> </w:t>
      </w:r>
      <w:r>
        <w:t xml:space="preserve">(immutable) | Fetched 2026-10-15 07:57 SGT | Generated 2026-10-15 07:58 SGT</w:t>
      </w:r>
    </w:p>
    <w:p>
      <w:pPr>
        <w:pStyle w:val="Compact"/>
        <w:numPr>
          <w:ilvl w:val="0"/>
          <w:numId w:val="1007"/>
        </w:numPr>
      </w:pPr>
      <w:r>
        <w:t xml:space="preserve">Version: v20261015-0757. Prior versions are never overwritten (see company history page).</w:t>
      </w:r>
    </w:p>
    <w:bookmarkEnd w:id="20"/>
    <w:bookmarkStart w:id="21" w:name="版本与事件时间轴"/>
    <w:p>
      <w:pPr>
        <w:pStyle w:val="Heading2"/>
      </w:pPr>
      <w:r>
        <w:t xml:space="preserve">13. </w:t>
      </w:r>
      <w:r>
        <w:rPr>
          <w:rFonts w:hint="eastAsia"/>
        </w:rPr>
        <w:t xml:space="preserve">版本与事件时间轴</w:t>
      </w:r>
    </w:p>
    <w:p>
      <w:pPr>
        <w:pStyle w:val="Compact"/>
        <w:numPr>
          <w:ilvl w:val="0"/>
          <w:numId w:val="1008"/>
        </w:numPr>
      </w:pPr>
      <w:r>
        <w:t xml:space="preserve">v20261015-0757: </w:t>
      </w:r>
      <w:r>
        <w:rPr>
          <w:rFonts w:hint="eastAsia"/>
        </w:rPr>
        <w:t xml:space="preserve">首版生产系统报告</w:t>
      </w:r>
      <w:r>
        <w:t xml:space="preserve"> </w:t>
      </w:r>
      <w:r>
        <w:rPr>
          <w:rFonts w:hint="eastAsia"/>
        </w:rPr>
        <w:t xml:space="preserve">(27家同步)。下一事件:</w:t>
      </w:r>
      <w:r>
        <w:t xml:space="preserve"> </w:t>
      </w:r>
      <w:r>
        <w:rPr>
          <w:rFonts w:hint="eastAsia"/>
        </w:rPr>
        <w:t xml:space="preserve">财报</w:t>
      </w:r>
      <w:r>
        <w:t xml:space="preserve"> 2026-11-04 (TENTATIVE)。</w:t>
      </w:r>
    </w:p>
    <w:bookmarkEnd w:id="21"/>
    <w:bookmarkStart w:id="37" w:name="图片报告-image-report"/>
    <w:p>
      <w:pPr>
        <w:pStyle w:val="Heading2"/>
      </w:pPr>
      <w:r>
        <w:rPr>
          <w:rFonts w:hint="eastAsia"/>
        </w:rPr>
        <w:t xml:space="preserve">图片报告</w:t>
      </w:r>
      <w:r>
        <w:t xml:space="preserve"> Image Report</w:t>
      </w:r>
    </w:p>
    <w:p>
      <w:pPr>
        <w:pStyle w:val="CaptionedFigure"/>
      </w:pPr>
      <w:r>
        <w:drawing>
          <wp:inline>
            <wp:extent cx="5334000" cy="3000374"/>
            <wp:effectExtent b="0" l="0" r="0" t="0"/>
            <wp:docPr descr="1_price_vs_value" title="" id="23" name="Picture"/>
            <a:graphic>
              <a:graphicData uri="http://schemas.openxmlformats.org/drawingml/2006/picture">
                <pic:pic>
                  <pic:nvPicPr>
                    <pic:cNvPr descr="images/AMD_1_price_vs_value.png" id="24" name="Picture"/>
                    <pic:cNvPicPr>
                      <a:picLocks noChangeArrowheads="1" noChangeAspect="1"/>
                    </pic:cNvPicPr>
                  </pic:nvPicPr>
                  <pic:blipFill>
                    <a:blip r:embed="rId22"/>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1_price_vs_value</w:t>
      </w:r>
    </w:p>
    <w:p>
      <w:pPr>
        <w:pStyle w:val="BodyText"/>
      </w:pPr>
      <w:r>
        <w:rPr>
          <w:rFonts w:hint="eastAsia"/>
          <w:i/>
          <w:iCs/>
        </w:rPr>
        <w:t xml:space="preserve">股价vs三情景价值</w:t>
      </w:r>
      <w:r>
        <w:rPr>
          <w:i/>
          <w:iCs/>
        </w:rPr>
        <w:t xml:space="preserve"> Price vs scenario values</w:t>
      </w:r>
    </w:p>
    <w:p>
      <w:pPr>
        <w:pStyle w:val="CaptionedFigure"/>
      </w:pPr>
      <w:r>
        <w:drawing>
          <wp:inline>
            <wp:extent cx="5334000" cy="3000374"/>
            <wp:effectExtent b="0" l="0" r="0" t="0"/>
            <wp:docPr descr="2_financials" title="" id="26" name="Picture"/>
            <a:graphic>
              <a:graphicData uri="http://schemas.openxmlformats.org/drawingml/2006/picture">
                <pic:pic>
                  <pic:nvPicPr>
                    <pic:cNvPr descr="images/AMD_2_financials.png" id="27" name="Picture"/>
                    <pic:cNvPicPr>
                      <a:picLocks noChangeArrowheads="1" noChangeAspect="1"/>
                    </pic:cNvPicPr>
                  </pic:nvPicPr>
                  <pic:blipFill>
                    <a:blip r:embed="rId25"/>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2_financials</w:t>
      </w:r>
    </w:p>
    <w:p>
      <w:pPr>
        <w:pStyle w:val="BodyText"/>
      </w:pPr>
      <w:r>
        <w:rPr>
          <w:rFonts w:hint="eastAsia"/>
          <w:i/>
          <w:iCs/>
        </w:rPr>
        <w:t xml:space="preserve">季度财务</w:t>
      </w:r>
      <w:r>
        <w:rPr>
          <w:i/>
          <w:iCs/>
        </w:rPr>
        <w:t xml:space="preserve"> Quarterly financials</w:t>
      </w:r>
    </w:p>
    <w:p>
      <w:pPr>
        <w:pStyle w:val="CaptionedFigure"/>
      </w:pPr>
      <w:r>
        <w:drawing>
          <wp:inline>
            <wp:extent cx="5334000" cy="3000374"/>
            <wp:effectExtent b="0" l="0" r="0" t="0"/>
            <wp:docPr descr="3_scenarios" title="" id="29" name="Picture"/>
            <a:graphic>
              <a:graphicData uri="http://schemas.openxmlformats.org/drawingml/2006/picture">
                <pic:pic>
                  <pic:nvPicPr>
                    <pic:cNvPr descr="images/AMD_3_scenarios.png" id="30" name="Picture"/>
                    <pic:cNvPicPr>
                      <a:picLocks noChangeArrowheads="1" noChangeAspect="1"/>
                    </pic:cNvPicPr>
                  </pic:nvPicPr>
                  <pic:blipFill>
                    <a:blip r:embed="rId28"/>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3_scenarios</w:t>
      </w:r>
    </w:p>
    <w:p>
      <w:pPr>
        <w:pStyle w:val="BodyText"/>
      </w:pPr>
      <w:r>
        <w:rPr>
          <w:rFonts w:hint="eastAsia"/>
          <w:i/>
          <w:iCs/>
        </w:rPr>
        <w:t xml:space="preserve">三情景</w:t>
      </w:r>
      <w:r>
        <w:rPr>
          <w:i/>
          <w:iCs/>
        </w:rPr>
        <w:t xml:space="preserve"> Scenarios</w:t>
      </w:r>
    </w:p>
    <w:p>
      <w:pPr>
        <w:pStyle w:val="CaptionedFigure"/>
      </w:pPr>
      <w:r>
        <w:drawing>
          <wp:inline>
            <wp:extent cx="5334000" cy="3000374"/>
            <wp:effectExtent b="0" l="0" r="0" t="0"/>
            <wp:docPr descr="4_horizons" title="" id="32" name="Picture"/>
            <a:graphic>
              <a:graphicData uri="http://schemas.openxmlformats.org/drawingml/2006/picture">
                <pic:pic>
                  <pic:nvPicPr>
                    <pic:cNvPr descr="images/AMD_4_horizons.png" id="33" name="Picture"/>
                    <pic:cNvPicPr>
                      <a:picLocks noChangeArrowheads="1" noChangeAspect="1"/>
                    </pic:cNvPicPr>
                  </pic:nvPicPr>
                  <pic:blipFill>
                    <a:blip r:embed="rId31"/>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4_horizons</w:t>
      </w:r>
    </w:p>
    <w:p>
      <w:pPr>
        <w:pStyle w:val="BodyText"/>
      </w:pPr>
      <w:r>
        <w:rPr>
          <w:rFonts w:hint="eastAsia"/>
          <w:i/>
          <w:iCs/>
        </w:rPr>
        <w:t xml:space="preserve">2/4/6/8季度检验</w:t>
      </w:r>
      <w:r>
        <w:rPr>
          <w:i/>
          <w:iCs/>
        </w:rPr>
        <w:t xml:space="preserve"> Horizon check</w:t>
      </w:r>
    </w:p>
    <w:p>
      <w:pPr>
        <w:pStyle w:val="CaptionedFigure"/>
      </w:pPr>
      <w:r>
        <w:drawing>
          <wp:inline>
            <wp:extent cx="5334000" cy="3000374"/>
            <wp:effectExtent b="0" l="0" r="0" t="0"/>
            <wp:docPr descr="5_logic_map" title="" id="35" name="Picture"/>
            <a:graphic>
              <a:graphicData uri="http://schemas.openxmlformats.org/drawingml/2006/picture">
                <pic:pic>
                  <pic:nvPicPr>
                    <pic:cNvPr descr="images/AMD_5_logic_map.png" id="36" name="Picture"/>
                    <pic:cNvPicPr>
                      <a:picLocks noChangeArrowheads="1" noChangeAspect="1"/>
                    </pic:cNvPicPr>
                  </pic:nvPicPr>
                  <pic:blipFill>
                    <a:blip r:embed="rId34"/>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5_logic_map</w:t>
      </w:r>
    </w:p>
    <w:p>
      <w:pPr>
        <w:pStyle w:val="BodyText"/>
      </w:pPr>
      <w:r>
        <w:rPr>
          <w:rFonts w:hint="eastAsia"/>
          <w:i/>
          <w:iCs/>
        </w:rPr>
        <w:t xml:space="preserve">研究逻辑图</w:t>
      </w:r>
      <w:r>
        <w:rPr>
          <w:i/>
          <w:iCs/>
        </w:rPr>
        <w:t xml:space="preserve"> Logic map</w:t>
      </w:r>
    </w:p>
    <w:p>
      <w:r>
        <w:pict>
          <v:rect style="width:0;height:1.5pt" o:hralign="center" o:hrstd="t" o:hr="t"/>
        </w:pict>
      </w:r>
    </w:p>
    <w:bookmarkEnd w:id="37"/>
    <w:bookmarkEnd w:id="38"/>
    <w:bookmarkStart w:id="49" w:name="X5f1feab8bc2ce4c2f052e73dde6669b1ff39c14"/>
    <w:p>
      <w:pPr>
        <w:pStyle w:val="Heading1"/>
      </w:pPr>
      <w:r>
        <w:t xml:space="preserve">AMD Advanced Micro Devices, Inc. — Equity Deep Dive (Professional English) v20261015-0757</w:t>
      </w:r>
    </w:p>
    <w:p>
      <w:pPr>
        <w:pStyle w:val="BlockText"/>
      </w:pPr>
      <w:r>
        <w:t xml:space="preserve">Data as of 2026-10-15 07:57 SGT | Price $570.82 | Mkt cap 931.8 bn USD | Reporting currency USD | Not investment advice.</w:t>
      </w:r>
    </w:p>
    <w:bookmarkStart w:id="39" w:name="investment-thesis-hypothesis"/>
    <w:p>
      <w:pPr>
        <w:pStyle w:val="Heading2"/>
      </w:pPr>
      <w:r>
        <w:t xml:space="preserve">1. Investment thesis (HYPOTHESIS)</w:t>
      </w:r>
    </w:p>
    <w:p>
      <w:pPr>
        <w:pStyle w:val="FirstParagraph"/>
      </w:pPr>
      <w:r>
        <w:t xml:space="preserve">AMD keeps taking server-CPU share and is fighting to be the No.2 AI GPU supplier with MI400/Helios racks; the OpenAI partnership is the proof point, with high execution risk.</w:t>
      </w:r>
    </w:p>
    <w:p>
      <w:pPr>
        <w:pStyle w:val="Compact"/>
        <w:numPr>
          <w:ilvl w:val="0"/>
          <w:numId w:val="1009"/>
        </w:numPr>
      </w:pPr>
      <w:r>
        <w:rPr>
          <w:b/>
          <w:bCs/>
        </w:rPr>
        <w:t xml:space="preserve">Bull drivers</w:t>
      </w:r>
      <w:r>
        <w:t xml:space="preserve">: MI450 ramps on time with multiple gigawatt </w:t>
      </w:r>
      <w:r>
        <w:rPr>
          <w:rFonts w:hint="eastAsia"/>
        </w:rPr>
        <w:t xml:space="preserve">customers｜MI450按期多客户放量</w:t>
      </w:r>
    </w:p>
    <w:p>
      <w:pPr>
        <w:pStyle w:val="Compact"/>
        <w:numPr>
          <w:ilvl w:val="0"/>
          <w:numId w:val="1009"/>
        </w:numPr>
      </w:pPr>
      <w:r>
        <w:rPr>
          <w:b/>
          <w:bCs/>
        </w:rPr>
        <w:t xml:space="preserve">Bear drivers</w:t>
      </w:r>
      <w:r>
        <w:t xml:space="preserve">: Delays; NVDA price aggression; client PC slowdown from memory </w:t>
      </w:r>
      <w:r>
        <w:rPr>
          <w:rFonts w:hint="eastAsia"/>
        </w:rPr>
        <w:t xml:space="preserve">costs｜延期；NVDA压价；存储涨价拖累PC</w:t>
      </w:r>
    </w:p>
    <w:p>
      <w:pPr>
        <w:pStyle w:val="Compact"/>
        <w:numPr>
          <w:ilvl w:val="0"/>
          <w:numId w:val="1009"/>
        </w:numPr>
      </w:pPr>
      <w:r>
        <w:rPr>
          <w:b/>
          <w:bCs/>
        </w:rPr>
        <w:t xml:space="preserve">Falsifiers</w:t>
      </w:r>
      <w:r>
        <w:t xml:space="preserve">: DC GPU revenue below guide; Helios slips past </w:t>
      </w:r>
      <w:r>
        <w:rPr>
          <w:rFonts w:hint="eastAsia"/>
        </w:rPr>
        <w:t xml:space="preserve">2H26｜DC</w:t>
      </w:r>
      <w:r>
        <w:t xml:space="preserve"> </w:t>
      </w:r>
      <w:r>
        <w:rPr>
          <w:rFonts w:hint="eastAsia"/>
        </w:rPr>
        <w:t xml:space="preserve">GPU收入低于指引；Helios延后</w:t>
      </w:r>
    </w:p>
    <w:bookmarkEnd w:id="39"/>
    <w:bookmarkStart w:id="40" w:name="products-customers-revenue-model"/>
    <w:p>
      <w:pPr>
        <w:pStyle w:val="Heading2"/>
      </w:pPr>
      <w:r>
        <w:t xml:space="preserve">2. Products, customers, revenue model</w:t>
      </w:r>
    </w:p>
    <w:p>
      <w:pPr>
        <w:pStyle w:val="Compact"/>
        <w:numPr>
          <w:ilvl w:val="0"/>
          <w:numId w:val="1010"/>
        </w:numPr>
      </w:pPr>
      <w:r>
        <w:t xml:space="preserve">Theme: CPU + GPU AI accelerators CPU+AI GPU | Segments: Data Center (EPYC+Instinct) </w:t>
      </w:r>
      <w:r>
        <w:rPr>
          <w:rFonts w:hint="eastAsia"/>
        </w:rPr>
        <w:t xml:space="preserve">数据中心;</w:t>
      </w:r>
      <w:r>
        <w:t xml:space="preserve"> Client </w:t>
      </w:r>
      <w:r>
        <w:rPr>
          <w:rFonts w:hint="eastAsia"/>
        </w:rPr>
        <w:t xml:space="preserve">客户端;</w:t>
      </w:r>
      <w:r>
        <w:t xml:space="preserve"> Gaming </w:t>
      </w:r>
      <w:r>
        <w:rPr>
          <w:rFonts w:hint="eastAsia"/>
        </w:rPr>
        <w:t xml:space="preserve">游戏;</w:t>
      </w:r>
      <w:r>
        <w:t xml:space="preserve"> Embedded </w:t>
      </w:r>
      <w:r>
        <w:rPr>
          <w:rFonts w:hint="eastAsia"/>
        </w:rPr>
        <w:t xml:space="preserve">嵌入式</w:t>
      </w:r>
    </w:p>
    <w:p>
      <w:pPr>
        <w:pStyle w:val="Compact"/>
        <w:numPr>
          <w:ilvl w:val="0"/>
          <w:numId w:val="1010"/>
        </w:numPr>
      </w:pPr>
      <w:r>
        <w:t xml:space="preserve">Business description (DATA): Advanced Micro Devices, Inc. operates as a semiconductor company internationally. It operates in three segments: Data Center, Client and Gaming, and Embedded. The company offers artificial intelligence (AI) accelerators, microprocessors, and graphics processing units (GPUs) as standalone devices or as incorporated into accelerated processing units, chipsets, and data center and professional GPUs; and embedded processors and semi-custom system-on-chip (SoC) products, microprocessor and SoC development services and technology, data processing units, field programmable gate arrays (FPGA), system on modules, AI network interface cards, and adaptive SoC products. It provides processors under the AMD Ryzen, AMD Ryzen AI, AMD Ryzen PRO, AMD Ryzen Threadripper, AMD Ryzen Threadripper PRO, AMD Athlon, and AMD PRO A-Series brands; graphics under the AMD Radeon graphics and AMD Embedded Radeon grap</w:t>
      </w:r>
    </w:p>
    <w:p>
      <w:pPr>
        <w:pStyle w:val="Compact"/>
        <w:numPr>
          <w:ilvl w:val="0"/>
          <w:numId w:val="1010"/>
        </w:numPr>
      </w:pPr>
      <w:r>
        <w:t xml:space="preserve">Customers: Hyperscalers, OpenAI (MI450 deal), Oracle, Meta, PC </w:t>
      </w:r>
      <w:r>
        <w:rPr>
          <w:rFonts w:hint="eastAsia"/>
        </w:rPr>
        <w:t xml:space="preserve">OEMs｜云厂、OpenAI、甲骨文、Meta、PC厂</w:t>
      </w:r>
    </w:p>
    <w:bookmarkEnd w:id="40"/>
    <w:bookmarkStart w:id="41" w:name="Xf7e0eebfce2361ef4d938640eaa3e4cf812446c"/>
    <w:p>
      <w:pPr>
        <w:pStyle w:val="Heading2"/>
      </w:pPr>
      <w:r>
        <w:t xml:space="preserve">3. Industry, competition, regulation, supply chain (ANALYST FRAMEWORK)</w:t>
      </w:r>
    </w:p>
    <w:p>
      <w:pPr>
        <w:pStyle w:val="Compact"/>
        <w:numPr>
          <w:ilvl w:val="0"/>
          <w:numId w:val="1011"/>
        </w:numPr>
      </w:pPr>
      <w:r>
        <w:t xml:space="preserve">Suppliers: TSMC (N3/N2, CoWoS), HBM vendors, ZT Systems (rack </w:t>
      </w:r>
      <w:r>
        <w:rPr>
          <w:rFonts w:hint="eastAsia"/>
        </w:rPr>
        <w:t xml:space="preserve">design)｜台积电、HBM、ZT</w:t>
      </w:r>
      <w:r>
        <w:t xml:space="preserve"> Systems</w:t>
      </w:r>
    </w:p>
    <w:p>
      <w:pPr>
        <w:pStyle w:val="Compact"/>
        <w:numPr>
          <w:ilvl w:val="0"/>
          <w:numId w:val="1011"/>
        </w:numPr>
      </w:pPr>
      <w:r>
        <w:t xml:space="preserve">Competitors: NVDA, Intel, ARM-based CPUs, custom </w:t>
      </w:r>
      <w:r>
        <w:rPr>
          <w:rFonts w:hint="eastAsia"/>
        </w:rPr>
        <w:t xml:space="preserve">ASICs｜NVDA、英特尔、ARM</w:t>
      </w:r>
      <w:r>
        <w:t xml:space="preserve"> CPU、ASIC</w:t>
      </w:r>
    </w:p>
    <w:p>
      <w:pPr>
        <w:pStyle w:val="Compact"/>
        <w:numPr>
          <w:ilvl w:val="0"/>
          <w:numId w:val="1011"/>
        </w:numPr>
      </w:pPr>
      <w:r>
        <w:t xml:space="preserve">Bottlenecks/regulation: Rack-scale (Helios) execution, ROCm software maturity, CoWoS </w:t>
      </w:r>
      <w:r>
        <w:rPr>
          <w:rFonts w:hint="eastAsia"/>
        </w:rPr>
        <w:t xml:space="preserve">supply｜机架级Helios执行、ROCm软件、CoWoS</w:t>
      </w:r>
    </w:p>
    <w:p>
      <w:pPr>
        <w:pStyle w:val="Compact"/>
        <w:numPr>
          <w:ilvl w:val="0"/>
          <w:numId w:val="1011"/>
        </w:numPr>
      </w:pPr>
      <w:r>
        <w:t xml:space="preserve">KPIs: DC revenue, Instinct revenue, server CPU share, </w:t>
      </w:r>
      <w:r>
        <w:rPr>
          <w:rFonts w:hint="eastAsia"/>
        </w:rPr>
        <w:t xml:space="preserve">GM%｜DC收入、Instinct收入、服务器份额、毛利率</w:t>
      </w:r>
    </w:p>
    <w:p>
      <w:pPr>
        <w:pStyle w:val="Compact"/>
        <w:numPr>
          <w:ilvl w:val="0"/>
          <w:numId w:val="1011"/>
        </w:numPr>
      </w:pPr>
      <w:r>
        <w:t xml:space="preserve">Component spot/contract prices: paid feeds not connected —</w:t>
      </w:r>
      <w:r>
        <w:t xml:space="preserve"> </w:t>
      </w:r>
      <w:r>
        <w:rPr>
          <w:b/>
          <w:bCs/>
        </w:rPr>
        <w:t xml:space="preserve">UNAVAILABLE</w:t>
      </w:r>
      <w:r>
        <w:t xml:space="preserve">, tracked qualitatively.</w:t>
      </w:r>
    </w:p>
    <w:bookmarkEnd w:id="41"/>
    <w:bookmarkStart w:id="42" w:name="Xf82d66d225d90b4cba8a47757a9fbb4df26318d"/>
    <w:p>
      <w:pPr>
        <w:pStyle w:val="Heading2"/>
      </w:pPr>
      <w:r>
        <w:t xml:space="preserve">4. Historical financials &amp; cash flow (CONFIRMED, quarterly,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Quarter</w:t>
            </w:r>
          </w:p>
        </w:tc>
        <w:tc>
          <w:tcPr/>
          <w:p>
            <w:pPr>
              <w:pStyle w:val="Compact"/>
            </w:pPr>
            <w:r>
              <w:t xml:space="preserve">Revenue</w:t>
            </w:r>
          </w:p>
        </w:tc>
        <w:tc>
          <w:tcPr/>
          <w:p>
            <w:pPr>
              <w:pStyle w:val="Compact"/>
            </w:pPr>
            <w:r>
              <w:t xml:space="preserve">Gross profit</w:t>
            </w:r>
          </w:p>
        </w:tc>
        <w:tc>
          <w:tcPr/>
          <w:p>
            <w:pPr>
              <w:pStyle w:val="Compact"/>
            </w:pPr>
            <w:r>
              <w:t xml:space="preserve">Op income</w:t>
            </w:r>
          </w:p>
        </w:tc>
        <w:tc>
          <w:tcPr/>
          <w:p>
            <w:pPr>
              <w:pStyle w:val="Compact"/>
            </w:pPr>
            <w:r>
              <w:t xml:space="preserve">Net income</w:t>
            </w:r>
          </w:p>
        </w:tc>
        <w:tc>
          <w:tcPr/>
          <w:p>
            <w:pPr>
              <w:pStyle w:val="Compact"/>
            </w:pPr>
            <w:r>
              <w:t xml:space="preserve">FCF</w:t>
            </w:r>
          </w:p>
        </w:tc>
        <w:tc>
          <w:tcPr/>
          <w:p>
            <w:pPr>
              <w:pStyle w:val="Compact"/>
            </w:pPr>
            <w:r>
              <w:t xml:space="preserve">Op margin</w:t>
            </w:r>
          </w:p>
        </w:tc>
      </w:tr>
      <w:tr>
        <w:tc>
          <w:tcPr/>
          <w:p>
            <w:pPr>
              <w:pStyle w:val="Compact"/>
            </w:pPr>
            <w:r>
              <w:t xml:space="preserve">2026-06-30</w:t>
            </w:r>
          </w:p>
        </w:tc>
        <w:tc>
          <w:tcPr/>
          <w:p>
            <w:pPr>
              <w:pStyle w:val="Compact"/>
            </w:pPr>
            <w:r>
              <w:t xml:space="preserve">11.5 bn USD</w:t>
            </w:r>
          </w:p>
        </w:tc>
        <w:tc>
          <w:tcPr/>
          <w:p>
            <w:pPr>
              <w:pStyle w:val="Compact"/>
            </w:pPr>
            <w:r>
              <w:t xml:space="preserve">6.2 bn USD</w:t>
            </w:r>
          </w:p>
        </w:tc>
        <w:tc>
          <w:tcPr/>
          <w:p>
            <w:pPr>
              <w:pStyle w:val="Compact"/>
            </w:pPr>
            <w:r>
              <w:t xml:space="preserve">2.0 bn USD</w:t>
            </w:r>
          </w:p>
        </w:tc>
        <w:tc>
          <w:tcPr/>
          <w:p>
            <w:pPr>
              <w:pStyle w:val="Compact"/>
            </w:pPr>
            <w:r>
              <w:t xml:space="preserve">2.3 bn USD</w:t>
            </w:r>
          </w:p>
        </w:tc>
        <w:tc>
          <w:tcPr/>
          <w:p>
            <w:pPr>
              <w:pStyle w:val="Compact"/>
            </w:pPr>
            <w:r>
              <w:t xml:space="preserve">1.6 bn USD</w:t>
            </w:r>
          </w:p>
        </w:tc>
        <w:tc>
          <w:tcPr/>
          <w:p>
            <w:pPr>
              <w:pStyle w:val="Compact"/>
            </w:pPr>
            <w:r>
              <w:t xml:space="preserve">17.3%</w:t>
            </w:r>
          </w:p>
        </w:tc>
      </w:tr>
      <w:tr>
        <w:tc>
          <w:tcPr/>
          <w:p>
            <w:pPr>
              <w:pStyle w:val="Compact"/>
            </w:pPr>
            <w:r>
              <w:t xml:space="preserve">2026-03-31</w:t>
            </w:r>
          </w:p>
        </w:tc>
        <w:tc>
          <w:tcPr/>
          <w:p>
            <w:pPr>
              <w:pStyle w:val="Compact"/>
            </w:pPr>
            <w:r>
              <w:t xml:space="preserve">10.3 bn USD</w:t>
            </w:r>
          </w:p>
        </w:tc>
        <w:tc>
          <w:tcPr/>
          <w:p>
            <w:pPr>
              <w:pStyle w:val="Compact"/>
            </w:pPr>
            <w:r>
              <w:t xml:space="preserve">5.4 bn USD</w:t>
            </w:r>
          </w:p>
        </w:tc>
        <w:tc>
          <w:tcPr/>
          <w:p>
            <w:pPr>
              <w:pStyle w:val="Compact"/>
            </w:pPr>
            <w:r>
              <w:t xml:space="preserve">1.5 bn USD</w:t>
            </w:r>
          </w:p>
        </w:tc>
        <w:tc>
          <w:tcPr/>
          <w:p>
            <w:pPr>
              <w:pStyle w:val="Compact"/>
            </w:pPr>
            <w:r>
              <w:t xml:space="preserve">1.4 bn USD</w:t>
            </w:r>
          </w:p>
        </w:tc>
        <w:tc>
          <w:tcPr/>
          <w:p>
            <w:pPr>
              <w:pStyle w:val="Compact"/>
            </w:pPr>
            <w:r>
              <w:t xml:space="preserve">2.6 bn USD</w:t>
            </w:r>
          </w:p>
        </w:tc>
        <w:tc>
          <w:tcPr/>
          <w:p>
            <w:pPr>
              <w:pStyle w:val="Compact"/>
            </w:pPr>
            <w:r>
              <w:t xml:space="preserve">14.4%</w:t>
            </w:r>
          </w:p>
        </w:tc>
      </w:tr>
      <w:tr>
        <w:tc>
          <w:tcPr/>
          <w:p>
            <w:pPr>
              <w:pStyle w:val="Compact"/>
            </w:pPr>
            <w:r>
              <w:t xml:space="preserve">2025-12-31</w:t>
            </w:r>
          </w:p>
        </w:tc>
        <w:tc>
          <w:tcPr/>
          <w:p>
            <w:pPr>
              <w:pStyle w:val="Compact"/>
            </w:pPr>
            <w:r>
              <w:t xml:space="preserve">10.3 bn USD</w:t>
            </w:r>
          </w:p>
        </w:tc>
        <w:tc>
          <w:tcPr/>
          <w:p>
            <w:pPr>
              <w:pStyle w:val="Compact"/>
            </w:pPr>
            <w:r>
              <w:t xml:space="preserve">5.6 bn USD</w:t>
            </w:r>
          </w:p>
        </w:tc>
        <w:tc>
          <w:tcPr/>
          <w:p>
            <w:pPr>
              <w:pStyle w:val="Compact"/>
            </w:pPr>
            <w:r>
              <w:t xml:space="preserve">1.8 bn USD</w:t>
            </w:r>
          </w:p>
        </w:tc>
        <w:tc>
          <w:tcPr/>
          <w:p>
            <w:pPr>
              <w:pStyle w:val="Compact"/>
            </w:pPr>
            <w:r>
              <w:t xml:space="preserve">1.5 bn USD</w:t>
            </w:r>
          </w:p>
        </w:tc>
        <w:tc>
          <w:tcPr/>
          <w:p>
            <w:pPr>
              <w:pStyle w:val="Compact"/>
            </w:pPr>
            <w:r>
              <w:t xml:space="preserve">2.4 bn USD</w:t>
            </w:r>
          </w:p>
        </w:tc>
        <w:tc>
          <w:tcPr/>
          <w:p>
            <w:pPr>
              <w:pStyle w:val="Compact"/>
            </w:pPr>
            <w:r>
              <w:t xml:space="preserve">17.1%</w:t>
            </w:r>
          </w:p>
        </w:tc>
      </w:tr>
      <w:tr>
        <w:tc>
          <w:tcPr/>
          <w:p>
            <w:pPr>
              <w:pStyle w:val="Compact"/>
            </w:pPr>
            <w:r>
              <w:t xml:space="preserve">2025-09-30</w:t>
            </w:r>
          </w:p>
        </w:tc>
        <w:tc>
          <w:tcPr/>
          <w:p>
            <w:pPr>
              <w:pStyle w:val="Compact"/>
            </w:pPr>
            <w:r>
              <w:t xml:space="preserve">9.2 bn USD</w:t>
            </w:r>
          </w:p>
        </w:tc>
        <w:tc>
          <w:tcPr/>
          <w:p>
            <w:pPr>
              <w:pStyle w:val="Compact"/>
            </w:pPr>
            <w:r>
              <w:t xml:space="preserve">4.8 bn USD</w:t>
            </w:r>
          </w:p>
        </w:tc>
        <w:tc>
          <w:tcPr/>
          <w:p>
            <w:pPr>
              <w:pStyle w:val="Compact"/>
            </w:pPr>
            <w:r>
              <w:t xml:space="preserve">1.3 bn USD</w:t>
            </w:r>
          </w:p>
        </w:tc>
        <w:tc>
          <w:tcPr/>
          <w:p>
            <w:pPr>
              <w:pStyle w:val="Compact"/>
            </w:pPr>
            <w:r>
              <w:t xml:space="preserve">1.2 bn USD</w:t>
            </w:r>
          </w:p>
        </w:tc>
        <w:tc>
          <w:tcPr/>
          <w:p>
            <w:pPr>
              <w:pStyle w:val="Compact"/>
            </w:pPr>
            <w:r>
              <w:t xml:space="preserve">1.9 bn USD</w:t>
            </w:r>
          </w:p>
        </w:tc>
        <w:tc>
          <w:tcPr/>
          <w:p>
            <w:pPr>
              <w:pStyle w:val="Compact"/>
            </w:pPr>
            <w:r>
              <w:t xml:space="preserve">13.7%</w:t>
            </w:r>
          </w:p>
        </w:tc>
      </w:tr>
      <w:tr>
        <w:tc>
          <w:tcPr/>
          <w:p>
            <w:pPr>
              <w:pStyle w:val="Compact"/>
            </w:pPr>
            <w:r>
              <w:t xml:space="preserve">2025-06-30</w:t>
            </w:r>
          </w:p>
        </w:tc>
        <w:tc>
          <w:tcPr/>
          <w:p>
            <w:pPr>
              <w:pStyle w:val="Compact"/>
            </w:pPr>
            <w:r>
              <w:t xml:space="preserve">7.7 bn USD</w:t>
            </w:r>
          </w:p>
        </w:tc>
        <w:tc>
          <w:tcPr/>
          <w:p>
            <w:pPr>
              <w:pStyle w:val="Compact"/>
            </w:pPr>
            <w:r>
              <w:t xml:space="preserve">3.1 bn USD</w:t>
            </w:r>
          </w:p>
        </w:tc>
        <w:tc>
          <w:tcPr/>
          <w:p>
            <w:pPr>
              <w:pStyle w:val="Compact"/>
            </w:pPr>
            <w:r>
              <w:t xml:space="preserve">-0.1 bn USD</w:t>
            </w:r>
          </w:p>
        </w:tc>
        <w:tc>
          <w:tcPr/>
          <w:p>
            <w:pPr>
              <w:pStyle w:val="Compact"/>
            </w:pPr>
            <w:r>
              <w:t xml:space="preserve">0.9 bn USD</w:t>
            </w:r>
          </w:p>
        </w:tc>
        <w:tc>
          <w:tcPr/>
          <w:p>
            <w:pPr>
              <w:pStyle w:val="Compact"/>
            </w:pPr>
            <w:r>
              <w:t xml:space="preserve">1.7 bn USD</w:t>
            </w:r>
          </w:p>
        </w:tc>
        <w:tc>
          <w:tcPr/>
          <w:p>
            <w:pPr>
              <w:pStyle w:val="Compact"/>
            </w:pPr>
            <w:r>
              <w:t xml:space="preserve">-1.7%</w:t>
            </w:r>
          </w:p>
        </w:tc>
      </w:tr>
    </w:tbl>
    <w:p>
      <w:pPr>
        <w:pStyle w:val="BodyText"/>
      </w:pPr>
      <w:r>
        <w:t xml:space="preserve">Cash 13.1 bn USD; debt 4.3 bn USD; TTM FCF 8.4 bn USD (FCF margin 20.3%).</w:t>
      </w:r>
    </w:p>
    <w:bookmarkEnd w:id="42"/>
    <w:bookmarkStart w:id="43" w:name="X3c821d6e9fede090eb3c69e03178b96148c2c25"/>
    <w:p>
      <w:pPr>
        <w:pStyle w:val="Heading2"/>
      </w:pPr>
      <w:r>
        <w:t xml:space="preserve">5. Latest earnings: actual vs consensus vs guidance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Quarter</w:t>
            </w:r>
          </w:p>
        </w:tc>
        <w:tc>
          <w:tcPr/>
          <w:p>
            <w:pPr>
              <w:pStyle w:val="Compact"/>
            </w:pPr>
            <w:r>
              <w:t xml:space="preserve">EPS actual</w:t>
            </w:r>
          </w:p>
        </w:tc>
        <w:tc>
          <w:tcPr/>
          <w:p>
            <w:pPr>
              <w:pStyle w:val="Compact"/>
            </w:pPr>
            <w:r>
              <w:t xml:space="preserve">EPS consensus</w:t>
            </w:r>
          </w:p>
        </w:tc>
        <w:tc>
          <w:tcPr/>
          <w:p>
            <w:pPr>
              <w:pStyle w:val="Compact"/>
            </w:pPr>
            <w:r>
              <w:t xml:space="preserve">Surprise</w:t>
            </w:r>
          </w:p>
        </w:tc>
      </w:tr>
      <w:tr>
        <w:tc>
          <w:tcPr/>
          <w:p>
            <w:pPr>
              <w:pStyle w:val="Compact"/>
            </w:pPr>
            <w:r>
              <w:t xml:space="preserve">2025-09-30</w:t>
            </w:r>
          </w:p>
        </w:tc>
        <w:tc>
          <w:tcPr/>
          <w:p>
            <w:pPr>
              <w:pStyle w:val="Compact"/>
            </w:pPr>
            <w:r>
              <w:t xml:space="preserve">1.2</w:t>
            </w:r>
          </w:p>
        </w:tc>
        <w:tc>
          <w:tcPr/>
          <w:p>
            <w:pPr>
              <w:pStyle w:val="Compact"/>
            </w:pPr>
            <w:r>
              <w:t xml:space="preserve">1.171</w:t>
            </w:r>
          </w:p>
        </w:tc>
        <w:tc>
          <w:tcPr/>
          <w:p>
            <w:pPr>
              <w:pStyle w:val="Compact"/>
            </w:pPr>
            <w:r>
              <w:t xml:space="preserve">0.0248</w:t>
            </w:r>
          </w:p>
        </w:tc>
      </w:tr>
      <w:tr>
        <w:tc>
          <w:tcPr/>
          <w:p>
            <w:pPr>
              <w:pStyle w:val="Compact"/>
            </w:pPr>
            <w:r>
              <w:t xml:space="preserve">2025-12-31</w:t>
            </w:r>
          </w:p>
        </w:tc>
        <w:tc>
          <w:tcPr/>
          <w:p>
            <w:pPr>
              <w:pStyle w:val="Compact"/>
            </w:pPr>
            <w:r>
              <w:t xml:space="preserve">1.53</w:t>
            </w:r>
          </w:p>
        </w:tc>
        <w:tc>
          <w:tcPr/>
          <w:p>
            <w:pPr>
              <w:pStyle w:val="Compact"/>
            </w:pPr>
            <w:r>
              <w:t xml:space="preserve">1.31917</w:t>
            </w:r>
          </w:p>
        </w:tc>
        <w:tc>
          <w:tcPr/>
          <w:p>
            <w:pPr>
              <w:pStyle w:val="Compact"/>
            </w:pPr>
            <w:r>
              <w:t xml:space="preserve">0.1598</w:t>
            </w:r>
          </w:p>
        </w:tc>
      </w:tr>
      <w:tr>
        <w:tc>
          <w:tcPr/>
          <w:p>
            <w:pPr>
              <w:pStyle w:val="Compact"/>
            </w:pPr>
            <w:r>
              <w:t xml:space="preserve">2026-03-31</w:t>
            </w:r>
          </w:p>
        </w:tc>
        <w:tc>
          <w:tcPr/>
          <w:p>
            <w:pPr>
              <w:pStyle w:val="Compact"/>
            </w:pPr>
            <w:r>
              <w:t xml:space="preserve">1.37</w:t>
            </w:r>
          </w:p>
        </w:tc>
        <w:tc>
          <w:tcPr/>
          <w:p>
            <w:pPr>
              <w:pStyle w:val="Compact"/>
            </w:pPr>
            <w:r>
              <w:t xml:space="preserve">1.29468</w:t>
            </w:r>
          </w:p>
        </w:tc>
        <w:tc>
          <w:tcPr/>
          <w:p>
            <w:pPr>
              <w:pStyle w:val="Compact"/>
            </w:pPr>
            <w:r>
              <w:t xml:space="preserve">0.0582</w:t>
            </w:r>
          </w:p>
        </w:tc>
      </w:tr>
      <w:tr>
        <w:tc>
          <w:tcPr/>
          <w:p>
            <w:pPr>
              <w:pStyle w:val="Compact"/>
            </w:pPr>
            <w:r>
              <w:t xml:space="preserve">2026-06-30</w:t>
            </w:r>
          </w:p>
        </w:tc>
        <w:tc>
          <w:tcPr/>
          <w:p>
            <w:pPr>
              <w:pStyle w:val="Compact"/>
            </w:pPr>
            <w:r>
              <w:t xml:space="preserve">1.66</w:t>
            </w:r>
          </w:p>
        </w:tc>
        <w:tc>
          <w:tcPr/>
          <w:p>
            <w:pPr>
              <w:pStyle w:val="Compact"/>
            </w:pPr>
            <w:r>
              <w:t xml:space="preserve">1.60841</w:t>
            </w:r>
          </w:p>
        </w:tc>
        <w:tc>
          <w:tcPr/>
          <w:p>
            <w:pPr>
              <w:pStyle w:val="Compact"/>
            </w:pPr>
            <w:r>
              <w:t xml:space="preserve">0.0321</w:t>
            </w:r>
          </w:p>
        </w:tc>
      </w:tr>
    </w:tbl>
    <w:p>
      <w:pPr>
        <w:pStyle w:val="Compact"/>
        <w:numPr>
          <w:ilvl w:val="0"/>
          <w:numId w:val="1012"/>
        </w:numPr>
      </w:pPr>
      <w:r>
        <w:t xml:space="preserve">Management guidance: not in automated feed —</w:t>
      </w:r>
      <w:r>
        <w:t xml:space="preserve"> </w:t>
      </w:r>
      <w:r>
        <w:rPr>
          <w:b/>
          <w:bCs/>
        </w:rPr>
        <w:t xml:space="preserve">UNAVAILABLE (to be entered from IR release)</w:t>
      </w:r>
      <w:r>
        <w:t xml:space="preserve">.</w:t>
      </w:r>
    </w:p>
    <w:p>
      <w:pPr>
        <w:pStyle w:val="Compact"/>
        <w:numPr>
          <w:ilvl w:val="0"/>
          <w:numId w:val="1012"/>
        </w:numPr>
      </w:pPr>
      <w:r>
        <w:t xml:space="preserve">Next earnings (Yahoo; TENTATIVE until company-confirmed):</w:t>
      </w:r>
      <w:r>
        <w:t xml:space="preserve"> </w:t>
      </w:r>
      <w:r>
        <w:rPr>
          <w:b/>
          <w:bCs/>
        </w:rPr>
        <w:t xml:space="preserve">2026-11-04</w:t>
      </w:r>
      <w:r>
        <w:t xml:space="preserve">; current-quarter EPS consensus 1.92939 (40 analysts); revenue consensus 13.1 bn USD.</w:t>
      </w:r>
    </w:p>
    <w:bookmarkEnd w:id="43"/>
    <w:bookmarkStart w:id="44" w:name="quarter-drivers-price-reasonableness"/>
    <w:p>
      <w:pPr>
        <w:pStyle w:val="Heading2"/>
      </w:pPr>
      <w:r>
        <w:t xml:space="preserve">6. 2/4/6/8-quarter drivers &amp; price reasonableness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Horizon</w:t>
            </w:r>
          </w:p>
        </w:tc>
        <w:tc>
          <w:tcPr/>
          <w:p>
            <w:pPr>
              <w:pStyle w:val="Compact"/>
            </w:pPr>
            <w:r>
              <w:t xml:space="preserve">Scenario</w:t>
            </w:r>
          </w:p>
        </w:tc>
        <w:tc>
          <w:tcPr/>
          <w:p>
            <w:pPr>
              <w:pStyle w:val="Compact"/>
            </w:pPr>
            <w:r>
              <w:t xml:space="preserve">PV of horizon price</w:t>
            </w:r>
          </w:p>
        </w:tc>
        <w:tc>
          <w:tcPr/>
          <w:p>
            <w:pPr>
              <w:pStyle w:val="Compact"/>
            </w:pPr>
            <w:r>
              <w:t xml:space="preserve">vs current</w:t>
            </w:r>
          </w:p>
        </w:tc>
      </w:tr>
      <w:tr>
        <w:tc>
          <w:tcPr/>
          <w:p>
            <w:pPr>
              <w:pStyle w:val="Compact"/>
            </w:pPr>
            <w:r>
              <w:t xml:space="preserve">2Q</w:t>
            </w:r>
          </w:p>
        </w:tc>
        <w:tc>
          <w:tcPr/>
          <w:p>
            <w:pPr>
              <w:pStyle w:val="Compact"/>
            </w:pPr>
            <w:r>
              <w:t xml:space="preserve">Bear</w:t>
            </w:r>
          </w:p>
        </w:tc>
        <w:tc>
          <w:tcPr/>
          <w:p>
            <w:pPr>
              <w:pStyle w:val="Compact"/>
            </w:pPr>
            <w:r>
              <w:t xml:space="preserve">$120.69</w:t>
            </w:r>
          </w:p>
        </w:tc>
        <w:tc>
          <w:tcPr/>
          <w:p>
            <w:pPr>
              <w:pStyle w:val="Compact"/>
            </w:pPr>
            <w:r>
              <w:t xml:space="preserve">-78.9%</w:t>
            </w:r>
          </w:p>
        </w:tc>
      </w:tr>
      <w:tr>
        <w:tc>
          <w:tcPr/>
          <w:p>
            <w:pPr>
              <w:pStyle w:val="Compact"/>
            </w:pPr>
            <w:r>
              <w:t xml:space="preserve">2Q</w:t>
            </w:r>
          </w:p>
        </w:tc>
        <w:tc>
          <w:tcPr/>
          <w:p>
            <w:pPr>
              <w:pStyle w:val="Compact"/>
            </w:pPr>
            <w:r>
              <w:t xml:space="preserve">Base</w:t>
            </w:r>
          </w:p>
        </w:tc>
        <w:tc>
          <w:tcPr/>
          <w:p>
            <w:pPr>
              <w:pStyle w:val="Compact"/>
            </w:pPr>
            <w:r>
              <w:t xml:space="preserve">$303.20</w:t>
            </w:r>
          </w:p>
        </w:tc>
        <w:tc>
          <w:tcPr/>
          <w:p>
            <w:pPr>
              <w:pStyle w:val="Compact"/>
            </w:pPr>
            <w:r>
              <w:t xml:space="preserve">-46.9%</w:t>
            </w:r>
          </w:p>
        </w:tc>
      </w:tr>
      <w:tr>
        <w:tc>
          <w:tcPr/>
          <w:p>
            <w:pPr>
              <w:pStyle w:val="Compact"/>
            </w:pPr>
            <w:r>
              <w:t xml:space="preserve">2Q</w:t>
            </w:r>
          </w:p>
        </w:tc>
        <w:tc>
          <w:tcPr/>
          <w:p>
            <w:pPr>
              <w:pStyle w:val="Compact"/>
            </w:pPr>
            <w:r>
              <w:t xml:space="preserve">Bull</w:t>
            </w:r>
          </w:p>
        </w:tc>
        <w:tc>
          <w:tcPr/>
          <w:p>
            <w:pPr>
              <w:pStyle w:val="Compact"/>
            </w:pPr>
            <w:r>
              <w:t xml:space="preserve">$532.24</w:t>
            </w:r>
          </w:p>
        </w:tc>
        <w:tc>
          <w:tcPr/>
          <w:p>
            <w:pPr>
              <w:pStyle w:val="Compact"/>
            </w:pPr>
            <w:r>
              <w:t xml:space="preserve">-6.8%</w:t>
            </w:r>
          </w:p>
        </w:tc>
      </w:tr>
      <w:tr>
        <w:tc>
          <w:tcPr/>
          <w:p>
            <w:pPr>
              <w:pStyle w:val="Compact"/>
            </w:pPr>
            <w:r>
              <w:t xml:space="preserve">4Q</w:t>
            </w:r>
          </w:p>
        </w:tc>
        <w:tc>
          <w:tcPr/>
          <w:p>
            <w:pPr>
              <w:pStyle w:val="Compact"/>
            </w:pPr>
            <w:r>
              <w:t xml:space="preserve">Bear</w:t>
            </w:r>
          </w:p>
        </w:tc>
        <w:tc>
          <w:tcPr/>
          <w:p>
            <w:pPr>
              <w:pStyle w:val="Compact"/>
            </w:pPr>
            <w:r>
              <w:t xml:space="preserve">$131.29</w:t>
            </w:r>
          </w:p>
        </w:tc>
        <w:tc>
          <w:tcPr/>
          <w:p>
            <w:pPr>
              <w:pStyle w:val="Compact"/>
            </w:pPr>
            <w:r>
              <w:t xml:space="preserve">-77.0%</w:t>
            </w:r>
          </w:p>
        </w:tc>
      </w:tr>
      <w:tr>
        <w:tc>
          <w:tcPr/>
          <w:p>
            <w:pPr>
              <w:pStyle w:val="Compact"/>
            </w:pPr>
            <w:r>
              <w:t xml:space="preserve">4Q</w:t>
            </w:r>
          </w:p>
        </w:tc>
        <w:tc>
          <w:tcPr/>
          <w:p>
            <w:pPr>
              <w:pStyle w:val="Compact"/>
            </w:pPr>
            <w:r>
              <w:t xml:space="preserve">Base</w:t>
            </w:r>
          </w:p>
        </w:tc>
        <w:tc>
          <w:tcPr/>
          <w:p>
            <w:pPr>
              <w:pStyle w:val="Compact"/>
            </w:pPr>
            <w:r>
              <w:t xml:space="preserve">$382.90</w:t>
            </w:r>
          </w:p>
        </w:tc>
        <w:tc>
          <w:tcPr/>
          <w:p>
            <w:pPr>
              <w:pStyle w:val="Compact"/>
            </w:pPr>
            <w:r>
              <w:t xml:space="preserve">-32.9%</w:t>
            </w:r>
          </w:p>
        </w:tc>
      </w:tr>
      <w:tr>
        <w:tc>
          <w:tcPr/>
          <w:p>
            <w:pPr>
              <w:pStyle w:val="Compact"/>
            </w:pPr>
            <w:r>
              <w:t xml:space="preserve">4Q</w:t>
            </w:r>
          </w:p>
        </w:tc>
        <w:tc>
          <w:tcPr/>
          <w:p>
            <w:pPr>
              <w:pStyle w:val="Compact"/>
            </w:pPr>
            <w:r>
              <w:t xml:space="preserve">Bull</w:t>
            </w:r>
          </w:p>
        </w:tc>
        <w:tc>
          <w:tcPr/>
          <w:p>
            <w:pPr>
              <w:pStyle w:val="Compact"/>
            </w:pPr>
            <w:r>
              <w:t xml:space="preserve">$727.23</w:t>
            </w:r>
          </w:p>
        </w:tc>
        <w:tc>
          <w:tcPr/>
          <w:p>
            <w:pPr>
              <w:pStyle w:val="Compact"/>
            </w:pPr>
            <w:r>
              <w:t xml:space="preserve">27.4%</w:t>
            </w:r>
          </w:p>
        </w:tc>
      </w:tr>
      <w:tr>
        <w:tc>
          <w:tcPr/>
          <w:p>
            <w:pPr>
              <w:pStyle w:val="Compact"/>
            </w:pPr>
            <w:r>
              <w:t xml:space="preserve">6Q</w:t>
            </w:r>
          </w:p>
        </w:tc>
        <w:tc>
          <w:tcPr/>
          <w:p>
            <w:pPr>
              <w:pStyle w:val="Compact"/>
            </w:pPr>
            <w:r>
              <w:t xml:space="preserve">Bear</w:t>
            </w:r>
          </w:p>
        </w:tc>
        <w:tc>
          <w:tcPr/>
          <w:p>
            <w:pPr>
              <w:pStyle w:val="Compact"/>
            </w:pPr>
            <w:r>
              <w:t xml:space="preserve">$142.95</w:t>
            </w:r>
          </w:p>
        </w:tc>
        <w:tc>
          <w:tcPr/>
          <w:p>
            <w:pPr>
              <w:pStyle w:val="Compact"/>
            </w:pPr>
            <w:r>
              <w:t xml:space="preserve">-75.0%</w:t>
            </w:r>
          </w:p>
        </w:tc>
      </w:tr>
      <w:tr>
        <w:tc>
          <w:tcPr/>
          <w:p>
            <w:pPr>
              <w:pStyle w:val="Compact"/>
            </w:pPr>
            <w:r>
              <w:t xml:space="preserve">6Q</w:t>
            </w:r>
          </w:p>
        </w:tc>
        <w:tc>
          <w:tcPr/>
          <w:p>
            <w:pPr>
              <w:pStyle w:val="Compact"/>
            </w:pPr>
            <w:r>
              <w:t xml:space="preserve">Base</w:t>
            </w:r>
          </w:p>
        </w:tc>
        <w:tc>
          <w:tcPr/>
          <w:p>
            <w:pPr>
              <w:pStyle w:val="Compact"/>
            </w:pPr>
            <w:r>
              <w:t xml:space="preserve">$483.87</w:t>
            </w:r>
          </w:p>
        </w:tc>
        <w:tc>
          <w:tcPr/>
          <w:p>
            <w:pPr>
              <w:pStyle w:val="Compact"/>
            </w:pPr>
            <w:r>
              <w:t xml:space="preserve">-15.2%</w:t>
            </w:r>
          </w:p>
        </w:tc>
      </w:tr>
      <w:tr>
        <w:tc>
          <w:tcPr/>
          <w:p>
            <w:pPr>
              <w:pStyle w:val="Compact"/>
            </w:pPr>
            <w:r>
              <w:t xml:space="preserve">6Q</w:t>
            </w:r>
          </w:p>
        </w:tc>
        <w:tc>
          <w:tcPr/>
          <w:p>
            <w:pPr>
              <w:pStyle w:val="Compact"/>
            </w:pPr>
            <w:r>
              <w:t xml:space="preserve">Bull</w:t>
            </w:r>
          </w:p>
        </w:tc>
        <w:tc>
          <w:tcPr/>
          <w:p>
            <w:pPr>
              <w:pStyle w:val="Compact"/>
            </w:pPr>
            <w:r>
              <w:t xml:space="preserve">$993.34</w:t>
            </w:r>
          </w:p>
        </w:tc>
        <w:tc>
          <w:tcPr/>
          <w:p>
            <w:pPr>
              <w:pStyle w:val="Compact"/>
            </w:pPr>
            <w:r>
              <w:t xml:space="preserve">74.0%</w:t>
            </w:r>
          </w:p>
        </w:tc>
      </w:tr>
      <w:tr>
        <w:tc>
          <w:tcPr/>
          <w:p>
            <w:pPr>
              <w:pStyle w:val="Compact"/>
            </w:pPr>
            <w:r>
              <w:t xml:space="preserve">8Q</w:t>
            </w:r>
          </w:p>
        </w:tc>
        <w:tc>
          <w:tcPr/>
          <w:p>
            <w:pPr>
              <w:pStyle w:val="Compact"/>
            </w:pPr>
            <w:r>
              <w:t xml:space="preserve">Bear</w:t>
            </w:r>
          </w:p>
        </w:tc>
        <w:tc>
          <w:tcPr/>
          <w:p>
            <w:pPr>
              <w:pStyle w:val="Compact"/>
            </w:pPr>
            <w:r>
              <w:t xml:space="preserve">$155.75</w:t>
            </w:r>
          </w:p>
        </w:tc>
        <w:tc>
          <w:tcPr/>
          <w:p>
            <w:pPr>
              <w:pStyle w:val="Compact"/>
            </w:pPr>
            <w:r>
              <w:t xml:space="preserve">-72.7%</w:t>
            </w:r>
          </w:p>
        </w:tc>
      </w:tr>
      <w:tr>
        <w:tc>
          <w:tcPr/>
          <w:p>
            <w:pPr>
              <w:pStyle w:val="Compact"/>
            </w:pPr>
            <w:r>
              <w:t xml:space="preserve">8Q</w:t>
            </w:r>
          </w:p>
        </w:tc>
        <w:tc>
          <w:tcPr/>
          <w:p>
            <w:pPr>
              <w:pStyle w:val="Compact"/>
            </w:pPr>
            <w:r>
              <w:t xml:space="preserve">Base</w:t>
            </w:r>
          </w:p>
        </w:tc>
        <w:tc>
          <w:tcPr/>
          <w:p>
            <w:pPr>
              <w:pStyle w:val="Compact"/>
            </w:pPr>
            <w:r>
              <w:t xml:space="preserve">$611.73</w:t>
            </w:r>
          </w:p>
        </w:tc>
        <w:tc>
          <w:tcPr/>
          <w:p>
            <w:pPr>
              <w:pStyle w:val="Compact"/>
            </w:pPr>
            <w:r>
              <w:t xml:space="preserve">7.2%</w:t>
            </w:r>
          </w:p>
        </w:tc>
      </w:tr>
      <w:tr>
        <w:tc>
          <w:tcPr/>
          <w:p>
            <w:pPr>
              <w:pStyle w:val="Compact"/>
            </w:pPr>
            <w:r>
              <w:t xml:space="preserve">8Q</w:t>
            </w:r>
          </w:p>
        </w:tc>
        <w:tc>
          <w:tcPr/>
          <w:p>
            <w:pPr>
              <w:pStyle w:val="Compact"/>
            </w:pPr>
            <w:r>
              <w:t xml:space="preserve">Bull</w:t>
            </w:r>
          </w:p>
        </w:tc>
        <w:tc>
          <w:tcPr/>
          <w:p>
            <w:pPr>
              <w:pStyle w:val="Compact"/>
            </w:pPr>
            <w:r>
              <w:t xml:space="preserve">$1,356.11</w:t>
            </w:r>
          </w:p>
        </w:tc>
        <w:tc>
          <w:tcPr/>
          <w:p>
            <w:pPr>
              <w:pStyle w:val="Compact"/>
            </w:pPr>
            <w:r>
              <w:t xml:space="preserve">137.6%</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Current-price implied EV/NTM-FCF on Base path:</w:t>
            </w:r>
          </w:p>
        </w:tc>
        <w:tc>
          <w:tcPr/>
          <w:p>
            <w:pPr>
              <w:pStyle w:val="Compact"/>
            </w:pPr>
            <w:r>
              <w:t xml:space="preserve">Horizon</w:t>
            </w:r>
          </w:p>
        </w:tc>
      </w:tr>
      <w:tr>
        <w:tc>
          <w:tcPr/>
          <w:p>
            <w:pPr>
              <w:pStyle w:val="Compact"/>
            </w:pPr>
            <w:r>
              <w:t xml:space="preserve">2Q</w:t>
            </w:r>
          </w:p>
        </w:tc>
        <w:tc>
          <w:tcPr/>
          <w:p>
            <w:pPr>
              <w:pStyle w:val="Compact"/>
            </w:pPr>
            <w:r>
              <w:t xml:space="preserve">44.6x</w:t>
            </w:r>
          </w:p>
        </w:tc>
      </w:tr>
      <w:tr>
        <w:tc>
          <w:tcPr/>
          <w:p>
            <w:pPr>
              <w:pStyle w:val="Compact"/>
            </w:pPr>
            <w:r>
              <w:t xml:space="preserve">4Q</w:t>
            </w:r>
          </w:p>
        </w:tc>
        <w:tc>
          <w:tcPr/>
          <w:p>
            <w:pPr>
              <w:pStyle w:val="Compact"/>
            </w:pPr>
            <w:r>
              <w:t xml:space="preserve">33.0x</w:t>
            </w:r>
          </w:p>
        </w:tc>
      </w:tr>
      <w:tr>
        <w:tc>
          <w:tcPr/>
          <w:p>
            <w:pPr>
              <w:pStyle w:val="Compact"/>
            </w:pPr>
            <w:r>
              <w:t xml:space="preserve">6Q</w:t>
            </w:r>
          </w:p>
        </w:tc>
        <w:tc>
          <w:tcPr/>
          <w:p>
            <w:pPr>
              <w:pStyle w:val="Compact"/>
            </w:pPr>
            <w:r>
              <w:t xml:space="preserve">24.5x</w:t>
            </w:r>
          </w:p>
        </w:tc>
      </w:tr>
      <w:tr>
        <w:tc>
          <w:tcPr/>
          <w:p>
            <w:pPr>
              <w:pStyle w:val="Compact"/>
            </w:pPr>
            <w:r>
              <w:t xml:space="preserve">8Q</w:t>
            </w:r>
          </w:p>
        </w:tc>
        <w:tc>
          <w:tcPr/>
          <w:p>
            <w:pPr>
              <w:pStyle w:val="Compact"/>
            </w:pPr>
            <w:r>
              <w:t xml:space="preserve">18.2x</w:t>
            </w:r>
          </w:p>
        </w:tc>
      </w:tr>
    </w:tbl>
    <w:bookmarkEnd w:id="44"/>
    <w:bookmarkStart w:id="45" w:name="bear-base-bull-hypothesis"/>
    <w:p>
      <w:pPr>
        <w:pStyle w:val="Heading2"/>
      </w:pPr>
      <w:r>
        <w:t xml:space="preserve">7.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Scenario</w:t>
            </w:r>
          </w:p>
        </w:tc>
        <w:tc>
          <w:tcPr/>
          <w:p>
            <w:pPr>
              <w:pStyle w:val="Compact"/>
            </w:pPr>
            <w:r>
              <w:t xml:space="preserve">Y1 growth</w:t>
            </w:r>
          </w:p>
        </w:tc>
        <w:tc>
          <w:tcPr/>
          <w:p>
            <w:pPr>
              <w:pStyle w:val="Compact"/>
            </w:pPr>
            <w:r>
              <w:t xml:space="preserve">LR FCF margin</w:t>
            </w:r>
          </w:p>
        </w:tc>
        <w:tc>
          <w:tcPr/>
          <w:p>
            <w:pPr>
              <w:pStyle w:val="Compact"/>
            </w:pPr>
            <w:r>
              <w:t xml:space="preserve">WACC</w:t>
            </w:r>
          </w:p>
        </w:tc>
        <w:tc>
          <w:tcPr/>
          <w:p>
            <w:pPr>
              <w:pStyle w:val="Compact"/>
            </w:pPr>
            <w:r>
              <w:t xml:space="preserve">Terminal g</w:t>
            </w:r>
          </w:p>
        </w:tc>
        <w:tc>
          <w:tcPr/>
          <w:p>
            <w:pPr>
              <w:pStyle w:val="Compact"/>
            </w:pPr>
            <w:r>
              <w:t xml:space="preserve">Prob.</w:t>
            </w:r>
          </w:p>
        </w:tc>
        <w:tc>
          <w:tcPr/>
          <w:p>
            <w:pPr>
              <w:pStyle w:val="Compact"/>
            </w:pPr>
            <w:r>
              <w:t xml:space="preserve">Value/share</w:t>
            </w:r>
          </w:p>
        </w:tc>
        <w:tc>
          <w:tcPr/>
          <w:p>
            <w:pPr>
              <w:pStyle w:val="Compact"/>
            </w:pPr>
            <w:r>
              <w:t xml:space="preserve">vs price</w:t>
            </w:r>
          </w:p>
        </w:tc>
      </w:tr>
      <w:tr>
        <w:tc>
          <w:tcPr/>
          <w:p>
            <w:pPr>
              <w:pStyle w:val="Compact"/>
            </w:pPr>
            <w:r>
              <w:t xml:space="preserve">Bear</w:t>
            </w:r>
          </w:p>
        </w:tc>
        <w:tc>
          <w:tcPr/>
          <w:p>
            <w:pPr>
              <w:pStyle w:val="Compact"/>
            </w:pPr>
            <w:r>
              <w:t xml:space="preserve">37.3%</w:t>
            </w:r>
          </w:p>
        </w:tc>
        <w:tc>
          <w:tcPr/>
          <w:p>
            <w:pPr>
              <w:pStyle w:val="Compact"/>
            </w:pPr>
            <w:r>
              <w:t xml:space="preserve">20.0%</w:t>
            </w:r>
          </w:p>
        </w:tc>
        <w:tc>
          <w:tcPr/>
          <w:p>
            <w:pPr>
              <w:pStyle w:val="Compact"/>
            </w:pPr>
            <w:r>
              <w:t xml:space="preserve">14.2%</w:t>
            </w:r>
          </w:p>
        </w:tc>
        <w:tc>
          <w:tcPr/>
          <w:p>
            <w:pPr>
              <w:pStyle w:val="Compact"/>
            </w:pPr>
            <w:r>
              <w:t xml:space="preserve">2.5%</w:t>
            </w:r>
          </w:p>
        </w:tc>
        <w:tc>
          <w:tcPr/>
          <w:p>
            <w:pPr>
              <w:pStyle w:val="Compact"/>
            </w:pPr>
            <w:r>
              <w:t xml:space="preserve">25.0%</w:t>
            </w:r>
          </w:p>
        </w:tc>
        <w:tc>
          <w:tcPr/>
          <w:p>
            <w:pPr>
              <w:pStyle w:val="Compact"/>
            </w:pPr>
            <w:r>
              <w:t xml:space="preserve">$159.79</w:t>
            </w:r>
          </w:p>
        </w:tc>
        <w:tc>
          <w:tcPr/>
          <w:p>
            <w:pPr>
              <w:pStyle w:val="Compact"/>
            </w:pPr>
            <w:r>
              <w:t xml:space="preserve">-72.0%</w:t>
            </w:r>
          </w:p>
        </w:tc>
      </w:tr>
      <w:tr>
        <w:tc>
          <w:tcPr/>
          <w:p>
            <w:pPr>
              <w:pStyle w:val="Compact"/>
            </w:pPr>
            <w:r>
              <w:t xml:space="preserve">Base</w:t>
            </w:r>
          </w:p>
        </w:tc>
        <w:tc>
          <w:tcPr/>
          <w:p>
            <w:pPr>
              <w:pStyle w:val="Compact"/>
            </w:pPr>
            <w:r>
              <w:t xml:space="preserve">74.6%</w:t>
            </w:r>
          </w:p>
        </w:tc>
        <w:tc>
          <w:tcPr/>
          <w:p>
            <w:pPr>
              <w:pStyle w:val="Compact"/>
            </w:pPr>
            <w:r>
              <w:t xml:space="preserve">25.0%</w:t>
            </w:r>
          </w:p>
        </w:tc>
        <w:tc>
          <w:tcPr/>
          <w:p>
            <w:pPr>
              <w:pStyle w:val="Compact"/>
            </w:pPr>
            <w:r>
              <w:t xml:space="preserve">13.2%</w:t>
            </w:r>
          </w:p>
        </w:tc>
        <w:tc>
          <w:tcPr/>
          <w:p>
            <w:pPr>
              <w:pStyle w:val="Compact"/>
            </w:pPr>
            <w:r>
              <w:t xml:space="preserve">3.0%</w:t>
            </w:r>
          </w:p>
        </w:tc>
        <w:tc>
          <w:tcPr/>
          <w:p>
            <w:pPr>
              <w:pStyle w:val="Compact"/>
            </w:pPr>
            <w:r>
              <w:t xml:space="preserve">50.0%</w:t>
            </w:r>
          </w:p>
        </w:tc>
        <w:tc>
          <w:tcPr/>
          <w:p>
            <w:pPr>
              <w:pStyle w:val="Compact"/>
            </w:pPr>
            <w:r>
              <w:t xml:space="preserve">$751.66</w:t>
            </w:r>
          </w:p>
        </w:tc>
        <w:tc>
          <w:tcPr/>
          <w:p>
            <w:pPr>
              <w:pStyle w:val="Compact"/>
            </w:pPr>
            <w:r>
              <w:t xml:space="preserve">31.7%</w:t>
            </w:r>
          </w:p>
        </w:tc>
      </w:tr>
      <w:tr>
        <w:tc>
          <w:tcPr/>
          <w:p>
            <w:pPr>
              <w:pStyle w:val="Compact"/>
            </w:pPr>
            <w:r>
              <w:t xml:space="preserve">Bull</w:t>
            </w:r>
          </w:p>
        </w:tc>
        <w:tc>
          <w:tcPr/>
          <w:p>
            <w:pPr>
              <w:pStyle w:val="Compact"/>
            </w:pPr>
            <w:r>
              <w:t xml:space="preserve">96.9%</w:t>
            </w:r>
          </w:p>
        </w:tc>
        <w:tc>
          <w:tcPr/>
          <w:p>
            <w:pPr>
              <w:pStyle w:val="Compact"/>
            </w:pPr>
            <w:r>
              <w:t xml:space="preserve">28.7%</w:t>
            </w:r>
          </w:p>
        </w:tc>
        <w:tc>
          <w:tcPr/>
          <w:p>
            <w:pPr>
              <w:pStyle w:val="Compact"/>
            </w:pPr>
            <w:r>
              <w:t xml:space="preserve">12.7%</w:t>
            </w:r>
          </w:p>
        </w:tc>
        <w:tc>
          <w:tcPr/>
          <w:p>
            <w:pPr>
              <w:pStyle w:val="Compact"/>
            </w:pPr>
            <w:r>
              <w:t xml:space="preserve">3.5%</w:t>
            </w:r>
          </w:p>
        </w:tc>
        <w:tc>
          <w:tcPr/>
          <w:p>
            <w:pPr>
              <w:pStyle w:val="Compact"/>
            </w:pPr>
            <w:r>
              <w:t xml:space="preserve">25.0%</w:t>
            </w:r>
          </w:p>
        </w:tc>
        <w:tc>
          <w:tcPr/>
          <w:p>
            <w:pPr>
              <w:pStyle w:val="Compact"/>
            </w:pPr>
            <w:r>
              <w:t xml:space="preserve">$1,872.98</w:t>
            </w:r>
          </w:p>
        </w:tc>
        <w:tc>
          <w:tcPr/>
          <w:p>
            <w:pPr>
              <w:pStyle w:val="Compact"/>
            </w:pPr>
            <w:r>
              <w:t xml:space="preserve">228.1%</w:t>
            </w:r>
          </w:p>
        </w:tc>
      </w:tr>
    </w:tbl>
    <w:p>
      <w:pPr>
        <w:pStyle w:val="BodyText"/>
      </w:pPr>
      <w:r>
        <w:t xml:space="preserve">Probability-weighted value</w:t>
      </w:r>
      <w:r>
        <w:t xml:space="preserve"> </w:t>
      </w:r>
      <w:r>
        <w:rPr>
          <w:b/>
          <w:bCs/>
        </w:rPr>
        <w:t xml:space="preserve">$884.02</w:t>
      </w:r>
      <w:r>
        <w:t xml:space="preserve"> </w:t>
      </w:r>
      <w:r>
        <w:t xml:space="preserve">(54.9% vs price).</w:t>
      </w:r>
    </w:p>
    <w:bookmarkEnd w:id="45"/>
    <w:bookmarkStart w:id="46" w:name="Xfc75fe43efc4114f7d3862e568337603baeb829"/>
    <w:p>
      <w:pPr>
        <w:pStyle w:val="Heading2"/>
      </w:pPr>
      <w:r>
        <w:t xml:space="preserve">8. Valuation: DCF / Reverse DCF / ROIC-WACC / comps / sensitivity</w:t>
      </w:r>
    </w:p>
    <w:p>
      <w:pPr>
        <w:pStyle w:val="Compact"/>
        <w:numPr>
          <w:ilvl w:val="0"/>
          <w:numId w:val="1013"/>
        </w:numPr>
      </w:pPr>
      <w:r>
        <w:t xml:space="preserve">Base DCF EV 1,218.2 bn USD; terminal share 57.1%.</w:t>
      </w:r>
    </w:p>
    <w:p>
      <w:pPr>
        <w:pStyle w:val="Compact"/>
        <w:numPr>
          <w:ilvl w:val="0"/>
          <w:numId w:val="1013"/>
        </w:numPr>
      </w:pPr>
      <w:r>
        <w:rPr>
          <w:b/>
          <w:bCs/>
        </w:rPr>
        <w:t xml:space="preserve">Reverse DCF</w:t>
      </w:r>
      <w:r>
        <w:t xml:space="preserve">: at Base margin/WACC the price implies Y1 revenue growth ≈</w:t>
      </w:r>
      <w:r>
        <w:t xml:space="preserve"> </w:t>
      </w:r>
      <w:r>
        <w:rPr>
          <w:b/>
          <w:bCs/>
        </w:rPr>
        <w:t xml:space="preserve">65.6%</w:t>
      </w:r>
      <w:r>
        <w:t xml:space="preserve"> </w:t>
      </w:r>
      <w:r>
        <w:t xml:space="preserve">vs consensus FY+1 74.6%.</w:t>
      </w:r>
    </w:p>
    <w:p>
      <w:pPr>
        <w:pStyle w:val="Compact"/>
        <w:numPr>
          <w:ilvl w:val="0"/>
          <w:numId w:val="1013"/>
        </w:numPr>
      </w:pPr>
      <w:r>
        <w:t xml:space="preserve">WACC (CAPM) = rf 5.2% + β 1.60 × ERP 5.0% = 13.2%.</w:t>
      </w:r>
    </w:p>
    <w:p>
      <w:pPr>
        <w:pStyle w:val="Compact"/>
        <w:numPr>
          <w:ilvl w:val="0"/>
          <w:numId w:val="1013"/>
        </w:numPr>
      </w:pPr>
      <w:r>
        <w:t xml:space="preserve">SOTP segments: Data Center (EPYC+Instinct) </w:t>
      </w:r>
      <w:r>
        <w:rPr>
          <w:rFonts w:hint="eastAsia"/>
        </w:rPr>
        <w:t xml:space="preserve">数据中心;</w:t>
      </w:r>
      <w:r>
        <w:t xml:space="preserve"> Client </w:t>
      </w:r>
      <w:r>
        <w:rPr>
          <w:rFonts w:hint="eastAsia"/>
        </w:rPr>
        <w:t xml:space="preserve">客户端;</w:t>
      </w:r>
      <w:r>
        <w:t xml:space="preserve"> Gaming </w:t>
      </w:r>
      <w:r>
        <w:rPr>
          <w:rFonts w:hint="eastAsia"/>
        </w:rPr>
        <w:t xml:space="preserve">游戏;</w:t>
      </w:r>
      <w:r>
        <w:t xml:space="preserve"> Embedded </w:t>
      </w:r>
      <w:r>
        <w:rPr>
          <w:rFonts w:hint="eastAsia"/>
        </w:rPr>
        <w:t xml:space="preserve">嵌入式</w:t>
      </w:r>
      <w:r>
        <w:t xml:space="preserve"> — framework only; segment revenue inputs pending from filings.</w:t>
      </w:r>
    </w:p>
    <w:p>
      <w:pPr>
        <w:pStyle w:val="Compact"/>
        <w:numPr>
          <w:ilvl w:val="0"/>
          <w:numId w:val="1013"/>
        </w:numPr>
      </w:pPr>
      <w:r>
        <w:t xml:space="preserve">Comps (DATA): see table in Chinese section / Excel</w:t>
      </w:r>
      <w:r>
        <w:t xml:space="preserve"> </w:t>
      </w:r>
      <w:r>
        <w:rPr>
          <w:rStyle w:val="VerbatimChar"/>
        </w:rPr>
        <w:t xml:space="preserve">Comps</w:t>
      </w:r>
      <w:r>
        <w:t xml:space="preserve">.</w:t>
      </w:r>
    </w:p>
    <w:p>
      <w:pPr>
        <w:pStyle w:val="Compact"/>
        <w:numPr>
          <w:ilvl w:val="0"/>
          <w:numId w:val="1013"/>
        </w:numPr>
      </w:pPr>
      <w:r>
        <w:t xml:space="preserve">Sensitivity: Excel</w:t>
      </w:r>
      <w:r>
        <w:t xml:space="preserve"> </w:t>
      </w:r>
      <w:r>
        <w:rPr>
          <w:rStyle w:val="VerbatimChar"/>
        </w:rPr>
        <w:t xml:space="preserve">Sensitivity</w:t>
      </w:r>
      <w:r>
        <w:t xml:space="preserve"> </w:t>
      </w:r>
      <w:r>
        <w:t xml:space="preserve">(WACC × terminal g).</w:t>
      </w:r>
    </w:p>
    <w:bookmarkEnd w:id="46"/>
    <w:bookmarkStart w:id="47" w:name="risks-counterarguments-falsifiers"/>
    <w:p>
      <w:pPr>
        <w:pStyle w:val="Heading2"/>
      </w:pPr>
      <w:r>
        <w:t xml:space="preserve">9. Risks, counterarguments, falsifiers</w:t>
      </w:r>
    </w:p>
    <w:p>
      <w:pPr>
        <w:pStyle w:val="FirstParagraph"/>
      </w:pPr>
      <w:r>
        <w:t xml:space="preserve">Delays; NVDA price aggression; client PC slowdown from memory </w:t>
      </w:r>
      <w:r>
        <w:rPr>
          <w:rFonts w:hint="eastAsia"/>
        </w:rPr>
        <w:t xml:space="preserve">costs｜延期；NVDA压价；存储涨价拖累PC</w:t>
      </w:r>
      <w:r>
        <w:t xml:space="preserve"> | Falsifiers: DC GPU revenue below guide; Helios slips past </w:t>
      </w:r>
      <w:r>
        <w:rPr>
          <w:rFonts w:hint="eastAsia"/>
        </w:rPr>
        <w:t xml:space="preserve">2H26｜DC</w:t>
      </w:r>
      <w:r>
        <w:t xml:space="preserve"> </w:t>
      </w:r>
      <w:r>
        <w:rPr>
          <w:rFonts w:hint="eastAsia"/>
        </w:rPr>
        <w:t xml:space="preserve">GPU收入低于指引；Helios延后</w:t>
      </w:r>
    </w:p>
    <w:bookmarkEnd w:id="47"/>
    <w:bookmarkStart w:id="48" w:name="X5f84632c184460920f9e7b36d3f64b5580c3064"/>
    <w:p>
      <w:pPr>
        <w:pStyle w:val="Heading2"/>
      </w:pPr>
      <w:r>
        <w:t xml:space="preserve">10–12. Source Ledger / Assumption Register / Model Provenance</w:t>
      </w:r>
    </w:p>
    <w:p>
      <w:pPr>
        <w:pStyle w:val="FirstParagraph"/>
      </w:pPr>
      <w:r>
        <w:t xml:space="preserve">See tables above (shared, bilingual). - Model file:</w:t>
      </w:r>
      <w:r>
        <w:t xml:space="preserve"> </w:t>
      </w:r>
      <w:r>
        <w:rPr>
          <w:rStyle w:val="VerbatimChar"/>
        </w:rPr>
        <w:t xml:space="preserve">AMD_model_v20261015-0757.xlsx</w:t>
      </w:r>
      <w:r>
        <w:t xml:space="preserve"> </w:t>
      </w:r>
      <w:r>
        <w:t xml:space="preserve">(live formulas; sheets Inputs→Scenarios→DCF→ReverseDCF→Sensitivity→Horizons→SOTP→Comps→ROIC_WACC→History→Sources→Assumptions)</w:t>
      </w:r>
      <w:r>
        <w:t xml:space="preserve"> </w:t>
      </w:r>
      <w:r>
        <w:t xml:space="preserve">- 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r>
        <w:t xml:space="preserve"> </w:t>
      </w:r>
      <w:r>
        <w:t xml:space="preserve">- Data snapshot:</w:t>
      </w:r>
      <w:r>
        <w:t xml:space="preserve"> </w:t>
      </w:r>
      <w:r>
        <w:rPr>
          <w:rStyle w:val="VerbatimChar"/>
        </w:rPr>
        <w:t xml:space="preserve">data/snapshots/20261015-0757</w:t>
      </w:r>
      <w:r>
        <w:t xml:space="preserve"> </w:t>
      </w:r>
      <w:r>
        <w:t xml:space="preserve">(immutable) | Fetched 2026-10-15 07:57 SGT | Generated 2026-10-15 07:58 SGT</w:t>
      </w:r>
      <w:r>
        <w:t xml:space="preserve"> </w:t>
      </w:r>
      <w:r>
        <w:t xml:space="preserve">- Version: v20261015-0757. Prior versions are never overwritten (see company history page).</w:t>
      </w:r>
    </w:p>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4" Target="media/rId3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2026-10-14T23:59:38Z</dcterms:created>
  <dcterms:modified xsi:type="dcterms:W3CDTF">2026-10-14T23:59:38Z</dcterms:modified>
</cp:coreProperties>
</file>

<file path=docProps/custom.xml><?xml version="1.0" encoding="utf-8"?>
<Properties xmlns="http://schemas.openxmlformats.org/officeDocument/2006/custom-properties" xmlns:vt="http://schemas.openxmlformats.org/officeDocument/2006/docPropsVTypes"/>
</file>