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vgo-初学者教学版-中文-v20261015-0757"/>
    <w:p>
      <w:pPr>
        <w:pStyle w:val="Heading1"/>
      </w:pPr>
      <w:r>
        <w:t xml:space="preserve">AVGO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Broadcom Inc. </w:t>
      </w:r>
      <w:r>
        <w:rPr>
          <w:rFonts w:hint="eastAsia"/>
        </w:rPr>
        <w:t xml:space="preserve">是一家</w:t>
      </w:r>
      <w:r>
        <w:t xml:space="preserve"> 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$346.25。我们的Base模型认为每股价值约</w:t>
      </w:r>
      <w:r>
        <w:t xml:space="preserve"> </w:t>
      </w:r>
      <w:r>
        <w:rPr>
          <w:rFonts w:hint="eastAsia"/>
        </w:rPr>
        <w:t xml:space="preserve">$775（123.9%）。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‘3.32’</w:t>
      </w:r>
      <w:r>
        <w:t xml:space="preserve">,</w:t>
      </w:r>
      <w:r>
        <w:t xml:space="preserve"> </w:t>
      </w:r>
      <w:r>
        <w:t xml:space="preserve">‘3.238’</w:t>
      </w:r>
      <w:r>
        <w:t xml:space="preserve">,</w:t>
      </w:r>
      <w:r>
        <w:t xml:space="preserve"> </w:t>
      </w:r>
      <w:r>
        <w:t xml:space="preserve">‘0.0253’</w:t>
      </w:r>
      <w:r>
        <w:rPr>
          <w:rFonts w:hint="eastAsia"/>
        </w:rPr>
        <w:t xml:space="preserve">]（实际、预期、超预期%）。下次财报约</w:t>
      </w:r>
      <w:r>
        <w:t xml:space="preserve"> 2026-12-10。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89.1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64.1%；m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45.0%；W</w:t>
      </w:r>
      <w:r>
        <w:t xml:space="preserve"> = WACC = 12.6%。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146.2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44.2% </w:t>
      </w:r>
      <w:r>
        <w:rPr>
          <w:rFonts w:hint="eastAsia"/>
        </w:rPr>
        <w:t xml:space="preserve">向</w:t>
      </w:r>
      <w:r>
        <w:t xml:space="preserve"> 45.0% </w:t>
      </w:r>
      <w:r>
        <w:rPr>
          <w:rFonts w:hint="eastAsia"/>
        </w:rPr>
        <w:t xml:space="preserve">线性过渡）=</w:t>
      </w:r>
      <w:r>
        <w:t xml:space="preserve"> 64.9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57.6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3,736.8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64.1%；价格隐含增速</w:t>
      </w:r>
      <w:r>
        <w:t xml:space="preserve"> 40.2%。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$179 / Base $775 / Bull </w:t>
      </w:r>
      <w:r>
        <w:rPr>
          <w:rFonts w:hint="eastAsia"/>
        </w:rPr>
        <w:t xml:space="preserve">$1,830；概率加权</w:t>
      </w:r>
      <w:r>
        <w:t xml:space="preserve"> $890。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5fc55f32491825ed81f1fbcb4c30aa5e702464f"/>
    <w:p>
      <w:pPr>
        <w:pStyle w:val="Heading1"/>
      </w:pPr>
      <w:r>
        <w:t xml:space="preserve">AVGO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Broadcom Inc. is a 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company. Price $346.25; our Base model value ≈ $775 (123.9%).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‘3.32’</w:t>
      </w:r>
      <w:r>
        <w:t xml:space="preserve">,</w:t>
      </w:r>
      <w:r>
        <w:t xml:space="preserve"> </w:t>
      </w:r>
      <w:r>
        <w:t xml:space="preserve">‘3.238’</w:t>
      </w:r>
      <w:r>
        <w:t xml:space="preserve">,</w:t>
      </w:r>
      <w:r>
        <w:t xml:space="preserve"> </w:t>
      </w:r>
      <w:r>
        <w:t xml:space="preserve">‘0.0253’</w:t>
      </w:r>
      <w:r>
        <w:t xml:space="preserve">]. Next earnings ≈ 2026-12-10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89.1 bn USD; g₁ = 64.1%; m = long-run FCF margin = 45.0%; W = 12.6%.</w:t>
      </w:r>
      <w:r>
        <w:t xml:space="preserve"> </w:t>
      </w:r>
      <w:r>
        <w:t xml:space="preserve">R₁ = R₀×(1+g₁) = 146.2 bn USD; FCF₁ = 64.9 bn USD; PV = FCF₁/(1+W) = 57.6 bn USD; 10 years + terminal → EV 3,736.8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64.1%; price-implied growth 40.2%.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$179 / Base $775 / Bull $1,830; weighted $890.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— Falsifiers: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VGO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2026-10-14T23:58:52Z</dcterms:created>
  <dcterms:modified xsi:type="dcterms:W3CDTF">2026-10-14T23:58:52Z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