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cohr-初学者教学版-中文-v20261015-0757"/>
    <w:p>
      <w:pPr>
        <w:pStyle w:val="Heading1"/>
      </w:pPr>
      <w:r>
        <w:t xml:space="preserve">COHR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v20261015-0757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Coherent Corp. </w:t>
      </w:r>
      <w:r>
        <w:rPr>
          <w:rFonts w:hint="eastAsia"/>
        </w:rPr>
        <w:t xml:space="preserve">是一家</w:t>
      </w:r>
      <w:r>
        <w:t xml:space="preserve"> Optical transceivers / lasers / materials </w:t>
      </w:r>
      <w:r>
        <w:rPr>
          <w:rFonts w:hint="eastAsia"/>
        </w:rPr>
        <w:t xml:space="preserve">光模块/激光/材料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$263.32。我们的Base模型认为每股价值约</w:t>
      </w:r>
      <w:r>
        <w:t xml:space="preserve"> </w:t>
      </w:r>
      <w:r>
        <w:rPr>
          <w:rFonts w:hint="eastAsia"/>
        </w:rPr>
        <w:t xml:space="preserve">$164（-37.7%）。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‘1.74’</w:t>
      </w:r>
      <w:r>
        <w:t xml:space="preserve">,</w:t>
      </w:r>
      <w:r>
        <w:t xml:space="preserve"> </w:t>
      </w:r>
      <w:r>
        <w:t xml:space="preserve">‘1.61709’</w:t>
      </w:r>
      <w:r>
        <w:t xml:space="preserve">,</w:t>
      </w:r>
      <w:r>
        <w:t xml:space="preserve"> </w:t>
      </w:r>
      <w:r>
        <w:t xml:space="preserve">‘0.076’</w:t>
      </w:r>
      <w:r>
        <w:rPr>
          <w:rFonts w:hint="eastAsia"/>
        </w:rPr>
        <w:t xml:space="preserve">]（实际、预期、超预期%）。下次财报约</w:t>
      </w:r>
      <w:r>
        <w:t xml:space="preserve"> 2026-11-05。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Optical transceivers / lasers / materials </w:t>
      </w:r>
      <w:r>
        <w:rPr>
          <w:rFonts w:hint="eastAsia"/>
        </w:rPr>
        <w:t xml:space="preserve">光模块/激光/材料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7.1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38.9%；m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15.0%；W</w:t>
      </w:r>
      <w:r>
        <w:t xml:space="preserve"> = WACC = 13.2%。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9.9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-14.5% </w:t>
      </w:r>
      <w:r>
        <w:rPr>
          <w:rFonts w:hint="eastAsia"/>
        </w:rPr>
        <w:t xml:space="preserve">向</w:t>
      </w:r>
      <w:r>
        <w:t xml:space="preserve"> 15.0% </w:t>
      </w:r>
      <w:r>
        <w:rPr>
          <w:rFonts w:hint="eastAsia"/>
        </w:rPr>
        <w:t xml:space="preserve">线性过渡）=</w:t>
      </w:r>
      <w:r>
        <w:t xml:space="preserve"> -0.8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-0.7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33.9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15.0%、三情景。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38.9%；价格隐含增速</w:t>
      </w:r>
      <w:r>
        <w:t xml:space="preserve"> 51.3%。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$42 / Base $164 / Bull </w:t>
      </w:r>
      <w:r>
        <w:rPr>
          <w:rFonts w:hint="eastAsia"/>
        </w:rPr>
        <w:t xml:space="preserve">$339；概率加权</w:t>
      </w:r>
      <w:r>
        <w:t xml:space="preserve"> $177。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Chinese module price competition; industrial weakness; </w:t>
      </w:r>
      <w:r>
        <w:rPr>
          <w:rFonts w:hint="eastAsia"/>
        </w:rPr>
        <w:t xml:space="preserve">debt｜中国模块价格战；工业疲弱；负债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Datacom growth below peers; GM </w:t>
      </w:r>
      <w:r>
        <w:rPr>
          <w:rFonts w:hint="eastAsia"/>
        </w:rPr>
        <w:t xml:space="preserve">stalls｜数通增速落后同业；毛利停滞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1bc00d8a10643b581f3a85fecc5c47f337f00e0"/>
    <w:p>
      <w:pPr>
        <w:pStyle w:val="Heading1"/>
      </w:pPr>
      <w:r>
        <w:t xml:space="preserve">COHR Beginner Teaching Edition (English) v20261015-0757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Coherent Corp. is a Optical transceivers / lasers / materials </w:t>
      </w:r>
      <w:r>
        <w:rPr>
          <w:rFonts w:hint="eastAsia"/>
        </w:rPr>
        <w:t xml:space="preserve">光模块/激光/材料</w:t>
      </w:r>
      <w:r>
        <w:t xml:space="preserve"> company. Price $263.32; our Base model value ≈ $164 (-37.7%).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‘1.74’</w:t>
      </w:r>
      <w:r>
        <w:t xml:space="preserve">,</w:t>
      </w:r>
      <w:r>
        <w:t xml:space="preserve"> </w:t>
      </w:r>
      <w:r>
        <w:t xml:space="preserve">‘1.61709’</w:t>
      </w:r>
      <w:r>
        <w:t xml:space="preserve">,</w:t>
      </w:r>
      <w:r>
        <w:t xml:space="preserve"> </w:t>
      </w:r>
      <w:r>
        <w:t xml:space="preserve">‘0.076’</w:t>
      </w:r>
      <w:r>
        <w:t xml:space="preserve">]. Next earnings ≈ 2026-11-05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7.1 bn USD; g₁ = 38.9%; m = long-run FCF margin = 15.0%; W = 13.2%.</w:t>
      </w:r>
      <w:r>
        <w:t xml:space="preserve"> </w:t>
      </w:r>
      <w:r>
        <w:t xml:space="preserve">R₁ = R₀×(1+g₁) = 9.9 bn USD; FCF₁ = -0.8 bn USD; PV = FCF₁/(1+W) = -0.7 bn USD; 10 years + terminal → EV 33.9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38.9%; price-implied growth 51.3%.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$42 / Base $164 / Bull $339; weighted $177.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Chinese module price competition; industrial weakness; </w:t>
      </w:r>
      <w:r>
        <w:rPr>
          <w:rFonts w:hint="eastAsia"/>
        </w:rPr>
        <w:t xml:space="preserve">debt｜中国模块价格战；工业疲弱；负债</w:t>
      </w:r>
      <w:r>
        <w:t xml:space="preserve"> — Falsifiers: Datacom growth below peers; GM </w:t>
      </w:r>
      <w:r>
        <w:rPr>
          <w:rFonts w:hint="eastAsia"/>
        </w:rPr>
        <w:t xml:space="preserve">stalls｜数通增速落后同业；毛利停滞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COHR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2026-10-14T23:59:27Z</dcterms:created>
  <dcterms:modified xsi:type="dcterms:W3CDTF">2026-10-14T23:59:27Z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