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4510e30a84b1655050db1f34f415cd8bfb29672"/>
    <w:p>
      <w:pPr>
        <w:pStyle w:val="Heading1"/>
      </w:pPr>
      <w:r>
        <w:t xml:space="preserve">CRWV CoreWeave, Inc.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v2.1）v20261014-0758-think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2026-10-14 07:58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v20261014-0758（同一快照，未改动）｜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CoreWeave, Inc.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$77.81；距</w:t>
      </w:r>
      <w:r>
        <w:t xml:space="preserve"> 2025-06-20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-56.3%。主题：AI</w:t>
      </w:r>
      <w:r>
        <w:t xml:space="preserve"> neocloud GPU cloud </w:t>
      </w:r>
      <w:r>
        <w:rPr>
          <w:rFonts w:hint="eastAsia"/>
        </w:rPr>
        <w:t xml:space="preserve">AI新云。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61.3%，一致预期</w:t>
      </w:r>
      <w:r>
        <w:t xml:space="preserve"> </w:t>
      </w:r>
      <w:r>
        <w:rPr>
          <w:rFonts w:hint="eastAsia"/>
        </w:rPr>
        <w:t xml:space="preserve">100.0%；三情景价值</w:t>
      </w:r>
      <w:r>
        <w:t xml:space="preserve"> $-22/$495/$1,730。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2026-11-12（TENTATIVE</w:t>
      </w:r>
      <w:r>
        <w:t xml:space="preserve"> </w:t>
      </w:r>
      <w:r>
        <w:rPr>
          <w:rFonts w:hint="eastAsia"/>
        </w:rPr>
        <w:t xml:space="preserve">直至公司确认）；盯：积压订单、在运营MW、签约MW、利息费用、Capex。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v20261014-0758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AI neocloud GPU cloud </w:t>
      </w:r>
      <w:r>
        <w:rPr>
          <w:rFonts w:hint="eastAsia"/>
        </w:rPr>
        <w:t xml:space="preserve">AI新云。持有者在乎的是：CoreWeave以高杠杆换取AI算力租赁的高速增长；核心是积压订单(backlog)转化率、融资成本与GPU经济寿命。FCF深度为负属于商业模式特征。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61.3%，一致预期</w:t>
      </w:r>
      <w:r>
        <w:t xml:space="preserve"> </w:t>
      </w:r>
      <w:r>
        <w:rPr>
          <w:rFonts w:hint="eastAsia"/>
        </w:rPr>
        <w:t xml:space="preserve">100.0%——市场定价不比分析师更乐观。P/E</w:t>
      </w:r>
      <w:r>
        <w:t xml:space="preserve"> </w:t>
      </w:r>
      <w:r>
        <w:rPr>
          <w:rFonts w:hint="eastAsia"/>
        </w:rPr>
        <w:t xml:space="preserve">数据不可用或为负（亏损）。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112.5%）→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65.9%）→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断点：Powered</w:t>
      </w:r>
      <w:r>
        <w:t xml:space="preserve"> shell availability, debt financing cost, GPU depreciation </w:t>
      </w:r>
      <w:r>
        <w:rPr>
          <w:rFonts w:hint="eastAsia"/>
        </w:rPr>
        <w:t xml:space="preserve">life｜带电机房、债务融资成本、GPU折旧年限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Active power MW below plan; interest expense outruns EBITDA growth; H100/B200 rental prices fall </w:t>
      </w:r>
      <w:r>
        <w:rPr>
          <w:rFonts w:hint="eastAsia"/>
        </w:rPr>
        <w:t xml:space="preserve">sharply｜在运营电力低于计划；利息增速超EBITDA；GPU租价暴跌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折现。CRWV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11.7%；最新季度毛利率</w:t>
      </w:r>
      <w:r>
        <w:t xml:space="preserve"> </w:t>
      </w:r>
      <w:r>
        <w:rPr>
          <w:rFonts w:hint="eastAsia"/>
        </w:rPr>
        <w:t xml:space="preserve">65.9%；收入同比</w:t>
      </w:r>
      <w:r>
        <w:t xml:space="preserve"> </w:t>
      </w:r>
      <w:r>
        <w:rPr>
          <w:rFonts w:hint="eastAsia"/>
        </w:rPr>
        <w:t xml:space="preserve">112.5%。新闻多数改变的是现金流预期，而非折现率。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竞争者：Hyperscalers,</w:t>
      </w:r>
      <w:r>
        <w:t xml:space="preserve"> Nebius, Lambda, Oracle </w:t>
      </w:r>
      <w:r>
        <w:rPr>
          <w:rFonts w:hint="eastAsia"/>
        </w:rPr>
        <w:t xml:space="preserve">OCI｜云厂、Nebius、Lambda、甲骨文。客户：Microsoft,</w:t>
      </w:r>
      <w:r>
        <w:t xml:space="preserve"> OpenAI, Meta, Google, AI </w:t>
      </w:r>
      <w:r>
        <w:rPr>
          <w:rFonts w:hint="eastAsia"/>
        </w:rPr>
        <w:t xml:space="preserve">labs｜微软、OpenAI、Meta、谷歌、AI实验室。若</w:t>
      </w:r>
      <w:r>
        <w:t xml:space="preserve"> CRWV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看多会错，如果：Delays</w:t>
      </w:r>
      <w:r>
        <w:t xml:space="preserve"> in data-center delivery, refinancing stress, GPU price </w:t>
      </w:r>
      <w:r>
        <w:rPr>
          <w:rFonts w:hint="eastAsia"/>
        </w:rPr>
        <w:t xml:space="preserve">deflation｜交付延期、再融资压力、GPU租赁价格通缩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61.3%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100.0%；近几季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+54% / 2025-12 -30% / 2026-03 -16% / 2026-06 +22%。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买方押：Backlog</w:t>
      </w:r>
      <w:r>
        <w:t xml:space="preserve"> converts on time; financing spreads tighten; contract </w:t>
      </w:r>
      <w:r>
        <w:rPr>
          <w:rFonts w:hint="eastAsia"/>
        </w:rPr>
        <w:t xml:space="preserve">diversification｜积压订单按期转化；融资利差收窄；客户分散。卖方押：Delays</w:t>
      </w:r>
      <w:r>
        <w:t xml:space="preserve"> in data-center delivery, refinancing stress, GPU price </w:t>
      </w:r>
      <w:r>
        <w:rPr>
          <w:rFonts w:hint="eastAsia"/>
        </w:rPr>
        <w:t xml:space="preserve">deflation｜交付延期、再融资压力、GPU租赁价格通缩。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2025 </w:t>
      </w:r>
      <w:r>
        <w:rPr>
          <w:rFonts w:hint="eastAsia"/>
        </w:rPr>
        <w:t xml:space="preserve">年以来最大的三次回撤：2025-04→2025-04</w:t>
      </w:r>
      <w:r>
        <w:t xml:space="preserve"> </w:t>
      </w:r>
      <w:r>
        <w:rPr>
          <w:rFonts w:hint="eastAsia"/>
        </w:rPr>
        <w:t xml:space="preserve">-42%；中位数</w:t>
      </w:r>
      <w:r>
        <w:t xml:space="preserve"> </w:t>
      </w:r>
      <w:r>
        <w:rPr>
          <w:rFonts w:hint="eastAsia"/>
        </w:rPr>
        <w:t xml:space="preserve">-42%。当前距高点</w:t>
      </w:r>
      <w:r>
        <w:t xml:space="preserve"> </w:t>
      </w:r>
      <w:r>
        <w:rPr>
          <w:rFonts w:hint="eastAsia"/>
        </w:rPr>
        <w:t xml:space="preserve">-56.3%。毛利率区间：23.4%–74.3%（本快照内）。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CoreWeave以高杠杆换取AI算力租赁的高速增长；核心是积压订单(backlog)转化率、融资成本与GPU经济寿命。FCF深度为负属于商业模式特征。（HYPOTHESIS）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Delays in data-center delivery, refinancing stress, GPU price </w:t>
      </w:r>
      <w:r>
        <w:rPr>
          <w:rFonts w:hint="eastAsia"/>
        </w:rPr>
        <w:t xml:space="preserve">deflation｜交付延期、再融资压力、GPU租赁价格通缩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$77.81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$495 </w:t>
      </w:r>
      <w:r>
        <w:rPr>
          <w:rFonts w:hint="eastAsia"/>
        </w:rPr>
        <w:t xml:space="preserve">-84.3%，安全边际取决于假设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2025-04→2025-04 -42%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$77.81 vs Base </w:t>
            </w:r>
            <w:r>
              <w:rPr>
                <w:rFonts w:hint="eastAsia"/>
              </w:rPr>
              <w:t xml:space="preserve">价值</w:t>
            </w:r>
            <w:r>
              <w:t xml:space="preserve"> $495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61.3% vs </w:t>
            </w:r>
            <w:r>
              <w:rPr>
                <w:rFonts w:hint="eastAsia"/>
              </w:rPr>
              <w:t xml:space="preserve">一致预期</w:t>
            </w:r>
            <w:r>
              <w:t xml:space="preserve"> 100.0%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74.2% → 65.9%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-16% → +22%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+112.5%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-56.3%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-42%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证据偏多方（加权</w:t>
      </w:r>
      <w:r>
        <w:t xml:space="preserve"> 11 : </w:t>
      </w:r>
      <w:r>
        <w:rPr>
          <w:rFonts w:hint="eastAsia"/>
        </w:rPr>
        <w:t xml:space="preserve">2）。这是对现有数据的机械称重，不是买卖结论；最该做的是盯住证伪清单。（我们的判断，可能出错）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61.3%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112.5%）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65.9%）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Backlog/RPO, active MW, contracted MW, interest expense, </w:t>
            </w:r>
            <w:r>
              <w:rPr>
                <w:rFonts w:hint="eastAsia"/>
              </w:rPr>
              <w:t xml:space="preserve">capex｜积压订单、在运营MW、签约MW、利息费用、Capex</w:t>
            </w:r>
          </w:p>
        </w:tc>
        <w:tc>
          <w:tcPr/>
          <w:p>
            <w:pPr>
              <w:pStyle w:val="Compact"/>
            </w:pPr>
            <w:r>
              <w:t xml:space="preserve">Active power MW below plan; interest expense outruns EBITDA growth; H100/B200 rental prices fall </w:t>
            </w:r>
            <w:r>
              <w:rPr>
                <w:rFonts w:hint="eastAsia"/>
              </w:rPr>
              <w:t xml:space="preserve">sharply｜在运营电力低于计划；利息增速超EBITDA；GPU租价暴跌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11.7%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61.3%、共识</w:t>
      </w:r>
      <w:r>
        <w:t xml:space="preserve"> </w:t>
      </w:r>
      <w:r>
        <w:rPr>
          <w:rFonts w:hint="eastAsia"/>
        </w:rPr>
        <w:t xml:space="preserve">100.0%。如果公司下季’超预期’但只超共识不超隐含，股价可能怎样？为什么？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65.9%，区间</w:t>
      </w:r>
      <w:r>
        <w:t xml:space="preserve"> </w:t>
      </w:r>
      <w:r>
        <w:rPr>
          <w:rFonts w:hint="eastAsia"/>
        </w:rPr>
        <w:t xml:space="preserve">23.4%–74.3%。用’第一性原理’说明利润率下降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-42%，当前</w:t>
      </w:r>
      <w:r>
        <w:t xml:space="preserve"> </w:t>
      </w:r>
      <w:r>
        <w:rPr>
          <w:rFonts w:hint="eastAsia"/>
        </w:rPr>
        <w:t xml:space="preserve">-56.3%。为什么’已经跌了很多’不能单独作为买入理由？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1-12-财报后填写"/>
    <w:p>
      <w:pPr>
        <w:pStyle w:val="Heading2"/>
      </w:pPr>
      <w:r>
        <w:rPr>
          <w:rFonts w:hint="eastAsia"/>
        </w:rPr>
        <w:t xml:space="preserve">八、事后推理复盘（2026-11-12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CRWV thinking-first edition. Price $77.81; -56.3% from 2025-06-20 high. Reverse DCF: price implies ~61.3% Y1 growth vs consensus 100.0%. Scenario values $-22/$495/$1,730; WACC 11.7%. Base rates: largest drawdowns since 2025: 2025-04→2025-04 -42%. Evidence weighting 11:2 (bull:bear). Falsifiers: Active power MW below plan; interest expense outruns EBITDA growth; H100/B200 rental prices fall </w:t>
      </w:r>
      <w:r>
        <w:rPr>
          <w:rFonts w:hint="eastAsia"/>
        </w:rPr>
        <w:t xml:space="preserve">sharply｜在运营电力低于计划；利息增速超EBITDA；GPU租价暴跌.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2026-10-14T00:04:04Z</dcterms:created>
  <dcterms:modified xsi:type="dcterms:W3CDTF">2026-10-14T00:04:04Z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