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wr-初学者教学版-中文-v20261015-0757"/>
    <w:p>
      <w:pPr>
        <w:pStyle w:val="Heading1"/>
      </w:pPr>
      <w:r>
        <w:t xml:space="preserve">PWR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Quanta Services, Inc. </w:t>
      </w:r>
      <w:r>
        <w:rPr>
          <w:rFonts w:hint="eastAsia"/>
        </w:rPr>
        <w:t xml:space="preserve">是一家</w:t>
      </w:r>
      <w:r>
        <w:t xml:space="preserve"> Power grid / utility infrastructure </w:t>
      </w:r>
      <w:r>
        <w:rPr>
          <w:rFonts w:hint="eastAsia"/>
        </w:rPr>
        <w:t xml:space="preserve">电网基建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$660.53。我们的Base模型认为每股价值约</w:t>
      </w:r>
      <w:r>
        <w:t xml:space="preserve"> </w:t>
      </w:r>
      <w:r>
        <w:rPr>
          <w:rFonts w:hint="eastAsia"/>
        </w:rPr>
        <w:t xml:space="preserve">$226（-65.8%）。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‘4.24’</w:t>
      </w:r>
      <w:r>
        <w:t xml:space="preserve">,</w:t>
      </w:r>
      <w:r>
        <w:t xml:space="preserve"> </w:t>
      </w:r>
      <w:r>
        <w:t xml:space="preserve">‘3.30957’</w:t>
      </w:r>
      <w:r>
        <w:t xml:space="preserve">,</w:t>
      </w:r>
      <w:r>
        <w:t xml:space="preserve"> </w:t>
      </w:r>
      <w:r>
        <w:t xml:space="preserve">‘0.2811’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Power grid / utility infrastructure </w:t>
      </w:r>
      <w:r>
        <w:rPr>
          <w:rFonts w:hint="eastAsia"/>
        </w:rPr>
        <w:t xml:space="preserve">电网基建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32.9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6.0%；W</w:t>
      </w:r>
      <w:r>
        <w:t xml:space="preserve"> = WACC = 11.5%。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38.1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7.3% </w:t>
      </w:r>
      <w:r>
        <w:rPr>
          <w:rFonts w:hint="eastAsia"/>
        </w:rPr>
        <w:t xml:space="preserve">向</w:t>
      </w:r>
      <w:r>
        <w:t xml:space="preserve"> 6.0% </w:t>
      </w:r>
      <w:r>
        <w:rPr>
          <w:rFonts w:hint="eastAsia"/>
        </w:rPr>
        <w:t xml:space="preserve">线性过渡）=</w:t>
      </w:r>
      <w:r>
        <w:t xml:space="preserve"> 2.7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40.0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15.8%；价格隐含增速</w:t>
      </w:r>
      <w:r>
        <w:t xml:space="preserve"> 42.6%。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$101 / Base $226 / Bull </w:t>
      </w:r>
      <w:r>
        <w:rPr>
          <w:rFonts w:hint="eastAsia"/>
        </w:rPr>
        <w:t xml:space="preserve">$365；概率加权</w:t>
      </w:r>
      <w:r>
        <w:t xml:space="preserve"> $229。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Backlog growth stalls; utility capex </w:t>
      </w:r>
      <w:r>
        <w:rPr>
          <w:rFonts w:hint="eastAsia"/>
        </w:rPr>
        <w:t xml:space="preserve">cut｜积压停滞；电力Capex下修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38f9833beab04a09b9ab6cd74a931b239db5a29"/>
    <w:p>
      <w:pPr>
        <w:pStyle w:val="Heading1"/>
      </w:pPr>
      <w:r>
        <w:t xml:space="preserve">PWR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Quanta Services, Inc. is a Power grid / utility infrastructure </w:t>
      </w:r>
      <w:r>
        <w:rPr>
          <w:rFonts w:hint="eastAsia"/>
        </w:rPr>
        <w:t xml:space="preserve">电网基建</w:t>
      </w:r>
      <w:r>
        <w:t xml:space="preserve"> company. Price $660.53; our Base model value ≈ $226 (-65.8%).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‘4.24’</w:t>
      </w:r>
      <w:r>
        <w:t xml:space="preserve">,</w:t>
      </w:r>
      <w:r>
        <w:t xml:space="preserve"> </w:t>
      </w:r>
      <w:r>
        <w:t xml:space="preserve">‘3.30957’</w:t>
      </w:r>
      <w:r>
        <w:t xml:space="preserve">,</w:t>
      </w:r>
      <w:r>
        <w:t xml:space="preserve"> </w:t>
      </w:r>
      <w:r>
        <w:t xml:space="preserve">‘0.2811’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32.9 bn USD; g₁ = 15.8%; m = long-run FCF margin = 6.0%; W = 11.5%.</w:t>
      </w:r>
      <w:r>
        <w:t xml:space="preserve"> </w:t>
      </w:r>
      <w:r>
        <w:t xml:space="preserve">R₁ = R₀×(1+g₁) = 38.1 bn USD; FCF₁ = 2.7 bn USD; PV = FCF₁/(1+W) = 2.4 bn USD; 10 years + terminal → EV 40.0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15.8%; price-implied growth 42.6%.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$101 / Base $226 / Bull $365; weighted $229.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— Falsifiers: Backlog growth stalls; utility capex </w:t>
      </w:r>
      <w:r>
        <w:rPr>
          <w:rFonts w:hint="eastAsia"/>
        </w:rPr>
        <w:t xml:space="preserve">cut｜积压停滞；电力Capex下修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PW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2026-10-14T23:59:46Z</dcterms:created>
  <dcterms:modified xsi:type="dcterms:W3CDTF">2026-10-14T23:59:46Z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