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d77cd874e25e0456987634e33f0c41efb01200"/>
    <w:p>
      <w:pPr>
        <w:pStyle w:val="Heading1"/>
      </w:pPr>
      <w:r>
        <w:t xml:space="preserve">QCOM QUALCOMM Incorporated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QUALCOMM Incorporated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$176.86；距</w:t>
      </w:r>
      <w:r>
        <w:t xml:space="preserve"> 2026-05-29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-29.9%。主题：Mobile</w:t>
      </w:r>
      <w:r>
        <w:t xml:space="preserve"> SoC / Edge AI / Auto </w:t>
      </w:r>
      <w:r>
        <w:rPr>
          <w:rFonts w:hint="eastAsia"/>
        </w:rPr>
        <w:t xml:space="preserve">手机芯片/边缘AI/汽车。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18.3%，一致预期</w:t>
      </w:r>
      <w:r>
        <w:t xml:space="preserve"> </w:t>
      </w:r>
      <w:r>
        <w:rPr>
          <w:rFonts w:hint="eastAsia"/>
        </w:rPr>
        <w:t xml:space="preserve">4.8%；三情景价值</w:t>
      </w:r>
      <w:r>
        <w:t xml:space="preserve"> $68/$104/$137。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直至公司确认）；盯：各业务收入、授权收入、毛利率、回购。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Mobile SoC / Edge AI / Auto </w:t>
      </w:r>
      <w:r>
        <w:rPr>
          <w:rFonts w:hint="eastAsia"/>
        </w:rPr>
        <w:t xml:space="preserve">手机芯片/边缘AI/汽车。持有者在乎的是：高通低估值反映手机成熟与苹果基带流失；多元化(汽车、PC、AI200数据中心推理)是重估关键，但需证据。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18.3%，一致预期</w:t>
      </w:r>
      <w:r>
        <w:t xml:space="preserve"> </w:t>
      </w:r>
      <w:r>
        <w:rPr>
          <w:rFonts w:hint="eastAsia"/>
        </w:rPr>
        <w:t xml:space="preserve">4.8%——市场定价比分析师更乐观。跑率/静态</w:t>
      </w:r>
      <w:r>
        <w:t xml:space="preserve"> P/E </w:t>
      </w:r>
      <w:r>
        <w:rPr>
          <w:rFonts w:hint="eastAsia"/>
        </w:rPr>
        <w:t xml:space="preserve">20.5×、前瞻</w:t>
      </w:r>
      <w:r>
        <w:t xml:space="preserve"> P/E </w:t>
      </w:r>
      <w:r>
        <w:rPr>
          <w:rFonts w:hint="eastAsia"/>
        </w:rPr>
        <w:t xml:space="preserve">17.3×（Yahoo）。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-4.0%）→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断点：Apple</w:t>
      </w:r>
      <w:r>
        <w:t xml:space="preserve"> modem loss, Android share vs MediaTek, ARM licensing </w:t>
      </w:r>
      <w:r>
        <w:rPr>
          <w:rFonts w:hint="eastAsia"/>
        </w:rPr>
        <w:t xml:space="preserve">dispute｜苹果基带流失、安卓份额、与ARM授权纠纷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折现。QCOM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53.1%；收入同比</w:t>
      </w:r>
      <w:r>
        <w:t xml:space="preserve"> </w:t>
      </w:r>
      <w:r>
        <w:rPr>
          <w:rFonts w:hint="eastAsia"/>
        </w:rPr>
        <w:t xml:space="preserve">-4.0%。新闻多数改变的是现金流预期，而非折现率。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竞争者：MediaTek,</w:t>
      </w:r>
      <w:r>
        <w:t xml:space="preserve"> Apple in-house modem, Intel/AMD (PC), NVDA/Mobileye </w:t>
      </w:r>
      <w:r>
        <w:rPr>
          <w:rFonts w:hint="eastAsia"/>
        </w:rPr>
        <w:t xml:space="preserve">(auto)｜联发科、苹果自研基带、x86</w:t>
      </w:r>
      <w:r>
        <w:t xml:space="preserve"> </w:t>
      </w:r>
      <w:r>
        <w:rPr>
          <w:rFonts w:hint="eastAsia"/>
        </w:rPr>
        <w:t xml:space="preserve">PC、汽车对手。客户：Samsung,</w:t>
      </w:r>
      <w:r>
        <w:t xml:space="preserve"> Xiaomi/Chinese OEMs, Apple (modems—declining), automakers, PC </w:t>
      </w:r>
      <w:r>
        <w:rPr>
          <w:rFonts w:hint="eastAsia"/>
        </w:rPr>
        <w:t xml:space="preserve">OEMs｜三星、中国手机厂、苹果(基带递减)、车厂、PC厂。若</w:t>
      </w:r>
      <w:r>
        <w:t xml:space="preserve"> QCOM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看多会错，如果：Apple</w:t>
      </w:r>
      <w:r>
        <w:t xml:space="preserve"> revenue rolls off faster; memory costs hurt handset </w:t>
      </w:r>
      <w:r>
        <w:rPr>
          <w:rFonts w:hint="eastAsia"/>
        </w:rPr>
        <w:t xml:space="preserve">demand｜苹果收入加速流失；存储涨价压手机需求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18.3%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4.8%；近几季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+4% / 2025-12 +3% / 2026-03 +3% / 2026-06 -1%。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买方押：Auto/IoT</w:t>
      </w:r>
      <w:r>
        <w:t xml:space="preserve"> reach targets; DC inference wins; premium Android share </w:t>
      </w:r>
      <w:r>
        <w:rPr>
          <w:rFonts w:hint="eastAsia"/>
        </w:rPr>
        <w:t xml:space="preserve">held｜汽车/IoT达标；数据中心推理获单；高端安卓份额稳。卖方押：Apple</w:t>
      </w:r>
      <w:r>
        <w:t xml:space="preserve"> revenue rolls off faster; memory costs hurt handset </w:t>
      </w:r>
      <w:r>
        <w:rPr>
          <w:rFonts w:hint="eastAsia"/>
        </w:rPr>
        <w:t xml:space="preserve">demand｜苹果收入加速流失；存储涨价压手机需求。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年以来最大的三次回撤：2008-08→2008-11</w:t>
      </w:r>
      <w:r>
        <w:t xml:space="preserve">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</w:t>
      </w:r>
      <w:r>
        <w:rPr>
          <w:rFonts w:hint="eastAsia"/>
        </w:rPr>
        <w:t xml:space="preserve">-44%；中位数</w:t>
      </w:r>
      <w:r>
        <w:t xml:space="preserve"> </w:t>
      </w:r>
      <w:r>
        <w:rPr>
          <w:rFonts w:hint="eastAsia"/>
        </w:rPr>
        <w:t xml:space="preserve">-45%。当前距高点</w:t>
      </w:r>
      <w:r>
        <w:t xml:space="preserve"> </w:t>
      </w:r>
      <w:r>
        <w:rPr>
          <w:rFonts w:hint="eastAsia"/>
        </w:rPr>
        <w:t xml:space="preserve">-29.9%。毛利率区间：53.1%–57.8%（本快照内）。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高通低估值反映手机成熟与苹果基带流失；多元化(汽车、PC、AI200数据中心推理)是重估关键，但需证据。（HYPOTHESIS）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$176.86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$104 </w:t>
      </w:r>
      <w:r>
        <w:rPr>
          <w:rFonts w:hint="eastAsia"/>
        </w:rPr>
        <w:t xml:space="preserve">70.9%，安全边际取决于假设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2008-08→2008-11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-44%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$176.86 vs Base </w:t>
            </w:r>
            <w:r>
              <w:rPr>
                <w:rFonts w:hint="eastAsia"/>
              </w:rPr>
              <w:t xml:space="preserve">价值</w:t>
            </w:r>
            <w:r>
              <w:t xml:space="preserve"> $104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18.3% vs </w:t>
            </w:r>
            <w:r>
              <w:rPr>
                <w:rFonts w:hint="eastAsia"/>
              </w:rPr>
              <w:t xml:space="preserve">一致预期</w:t>
            </w:r>
            <w:r>
              <w:t xml:space="preserve"> 4.8%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55.6% → 53.1%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-1%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-4.0%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-29.9%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1 : </w:t>
      </w:r>
      <w:r>
        <w:rPr>
          <w:rFonts w:hint="eastAsia"/>
        </w:rPr>
        <w:t xml:space="preserve">12）。这是对现有数据的机械称重，不是买卖结论；最该做的是盯住证伪清单。（我们的判断，可能出错）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-4.0%）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QCT handset/auto/IoT revenue, QTL, GM%, </w:t>
            </w:r>
            <w:r>
              <w:rPr>
                <w:rFonts w:hint="eastAsia"/>
              </w:rPr>
              <w:t xml:space="preserve">buybacks｜各业务收入、授权收入、毛利率、回购</w:t>
            </w:r>
          </w:p>
        </w:tc>
        <w:tc>
          <w:tcPr/>
          <w:p>
            <w:pPr>
              <w:pStyle w:val="Compact"/>
            </w:pPr>
            <w:r>
              <w:t xml:space="preserve">Auto growth &lt;20%; no named DC customer revenue; QCT handset revenue </w:t>
            </w:r>
            <w:r>
              <w:rPr>
                <w:rFonts w:hint="eastAsia"/>
              </w:rPr>
              <w:t xml:space="preserve">declining｜汽车增速&lt;20%；数据中心无具名客户收入；手机芯片收入下滑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18.3%、共识</w:t>
      </w:r>
      <w:r>
        <w:t xml:space="preserve"> </w:t>
      </w:r>
      <w:r>
        <w:rPr>
          <w:rFonts w:hint="eastAsia"/>
        </w:rPr>
        <w:t xml:space="preserve">4.8%。如果公司下季’超预期’但只超共识不超隐含，股价可能怎样？为什么？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53.1%，区间</w:t>
      </w:r>
      <w:r>
        <w:t xml:space="preserve"> </w:t>
      </w:r>
      <w:r>
        <w:rPr>
          <w:rFonts w:hint="eastAsia"/>
        </w:rPr>
        <w:t xml:space="preserve">53.1%–57.8%。用’第一性原理’说明利润率下降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-45%，当前</w:t>
      </w:r>
      <w:r>
        <w:t xml:space="preserve"> </w:t>
      </w:r>
      <w:r>
        <w:rPr>
          <w:rFonts w:hint="eastAsia"/>
        </w:rPr>
        <w:t xml:space="preserve">-29.9%。为什么’已经跌了很多’不能单独作为买入理由？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QCOM thinking-first edition. Price $176.86; -29.9% from 2026-05-29 high. Reverse DCF: price implies ~18.3% Y1 growth vs consensus 4.8%. Scenario values $68/$104/$137; WACC 13.2%. Base rates: largest drawdowns since 2008: 2008-08→2008-11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-44%. Evidence weighting 1:12 (bull:bear).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2026-10-14T00:03:53Z</dcterms:created>
  <dcterms:modified xsi:type="dcterms:W3CDTF">2026-10-14T00:03:53Z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