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06e1c12dd16f07924fe23990f396e0a333fe35"/>
    <w:p>
      <w:pPr>
        <w:pStyle w:val="Heading1"/>
      </w:pPr>
      <w:r>
        <w:t xml:space="preserve">CHANGELOG v20261015-1805 — US Retail Sales Sep 2026 Pre-Event</w:t>
      </w:r>
    </w:p>
    <w:p>
      <w:pPr>
        <w:pStyle w:val="Compact"/>
        <w:numPr>
          <w:ilvl w:val="0"/>
          <w:numId w:val="1001"/>
        </w:numPr>
      </w:pPr>
      <w:r>
        <w:t xml:space="preserve">2026-10-15 18:05 SGT: Initial pre-event lock (routine 17:50). Consensus investingLive/Action Economics; OS below consensus on control group; calibrated probabilities; 5 charts; 2×2 PPI×Retail attribution matrix; linked to PPI lock v20261014-1806 and CPI post v20261015-0800 without rewrite.</w:t>
      </w:r>
    </w:p>
    <w:p>
      <w:pPr>
        <w:pStyle w:val="Compact"/>
        <w:numPr>
          <w:ilvl w:val="0"/>
          <w:numId w:val="1001"/>
        </w:numPr>
      </w:pPr>
      <w:r>
        <w:t xml:space="preserve">Status CONFIRMED via census.gov release schedule.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2026-10-15T10:05:43Z</dcterms:created>
  <dcterms:modified xsi:type="dcterms:W3CDTF">2026-10-15T10:05:43Z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