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e62f3fbbda4d6286c2e6511e5de01c7f45f2b3"/>
    <w:p>
      <w:pPr>
        <w:pStyle w:val="Heading1"/>
      </w:pPr>
      <w:r>
        <w:t xml:space="preserve">US Retail Sales (Sep 2026) Pre-Event Book — English twin (v20261015-1805)</w:t>
      </w:r>
    </w:p>
    <w:p>
      <w:pPr>
        <w:pStyle w:val="BlockText"/>
      </w:pPr>
      <w:r>
        <w:rPr>
          <w:b/>
          <w:bCs/>
        </w:rPr>
        <w:t xml:space="preserve">Release: Thu 2026-10-15 08:30 ET = 20:30 SGT</w:t>
      </w:r>
      <w:r>
        <w:rPr>
          <w:rFonts w:hint="eastAsia"/>
        </w:rPr>
        <w:t xml:space="preserve">｜</w:t>
      </w:r>
      <w:r>
        <w:rPr>
          <w:b/>
          <w:bCs/>
        </w:rPr>
        <w:t xml:space="preserve">CONFIRMED</w:t>
      </w:r>
      <w:r>
        <w:t xml:space="preserve"> </w:t>
      </w:r>
      <w:r>
        <w:t xml:space="preserve">(census.gov retail release schedule). Same second as PPI (locked separately v20261014-1806), jobless claims, Philly Fed, Empire. Snapshot locked 2026-10-15 18:05 SGT. Not investment advice.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(FACT):</w:t>
      </w:r>
      <w:r>
        <w:t xml:space="preserve"> </w:t>
      </w:r>
      <w:r>
        <w:t xml:space="preserve">Fed hiked 25bp on 9/16 to 3.75–4.00% (</w:t>
      </w:r>
      <w:r>
        <w:t xml:space="preserve">“removed a dose of accommodation”</w:t>
      </w:r>
      <w:r>
        <w:t xml:space="preserve">). Sep CPI +0.6% m/m / 3.7% y/y, core +0.3% / 2.6%. Oct-28 hike odds jumped from ~22% to 33–49% (CME FedWatch via WSJ/Cboe/Yahoo, 10/14). 2Y 4.79%, 10Y 5.21% (FRED).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EXP:</w:t>
      </w:r>
      <w:r>
        <w:t xml:space="preserve"> </w:t>
      </w:r>
      <w:r>
        <w:t xml:space="preserve">headline</w:t>
      </w:r>
      <w:r>
        <w:t xml:space="preserve"> </w:t>
      </w:r>
      <w:r>
        <w:rPr>
          <w:b/>
          <w:bCs/>
        </w:rPr>
        <w:t xml:space="preserve">+0.3%</w:t>
      </w:r>
      <w:r>
        <w:t xml:space="preserve">, ex-auto</w:t>
      </w:r>
      <w:r>
        <w:t xml:space="preserve"> </w:t>
      </w:r>
      <w:r>
        <w:rPr>
          <w:b/>
          <w:bCs/>
        </w:rPr>
        <w:t xml:space="preserve">+0.5%</w:t>
      </w:r>
      <w:r>
        <w:t xml:space="preserve"> </w:t>
      </w:r>
      <w:r>
        <w:t xml:space="preserve">(investingLive via Admiral 10/14; Action Economics survey median), control group</w:t>
      </w:r>
      <w:r>
        <w:t xml:space="preserve"> </w:t>
      </w:r>
      <w:r>
        <w:rPr>
          <w:b/>
          <w:bCs/>
        </w:rPr>
        <w:t xml:space="preserve">+0.3%</w:t>
      </w:r>
      <w:r>
        <w:t xml:space="preserve"> </w:t>
      </w:r>
      <w:r>
        <w:t xml:space="preserve">(Action Economics median, range −0.1 to +0.5).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 HYPOTHESIS (below consensus):</w:t>
      </w:r>
      <w:r>
        <w:t xml:space="preserve"> </w:t>
      </w:r>
      <w:r>
        <w:t xml:space="preserve">headline +0.2%, ex-auto +0.4%,</w:t>
      </w:r>
      <w:r>
        <w:t xml:space="preserve"> </w:t>
      </w:r>
      <w:r>
        <w:rPr>
          <w:b/>
          <w:bCs/>
        </w:rPr>
        <w:t xml:space="preserve">control 0.0%</w:t>
      </w:r>
      <w:r>
        <w:t xml:space="preserve"> </w:t>
      </w:r>
      <w:r>
        <w:t xml:space="preserve">— Prime Day timing payback in nonstore after Aug +2.3–2.6%; gasoline lifts nominal headline but squeezes real spending. Moderate-low confidence (relies on two third-party previews).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Scenarios (calibrated):</w:t>
      </w:r>
      <w:r>
        <w:t xml:space="preserve"> </w:t>
      </w:r>
      <w:r>
        <w:t xml:space="preserve">Weak 25% / Inline 55% / Strong 20%. Base rate: ≤0.0% 33%, mid 36%, ≥0.7% 31% over 36m (FRED RSAFS). Calibration applied: True shrunk: [].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in a hiking cycle, strong demand = higher Oct hike odds = pressure on long-duration growth multiples. Weak retail + hot PPI = stagflation read, not a clean rally.</w:t>
      </w:r>
    </w:p>
    <w:bookmarkEnd w:id="9"/>
    <w:bookmarkStart w:id="10" w:name="live-checklist-2030-sgt"/>
    <w:p>
      <w:pPr>
        <w:pStyle w:val="Heading2"/>
      </w:pPr>
      <w:r>
        <w:t xml:space="preserve">Live checklist (20:30 SGT)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Control group MoM</w:t>
            </w:r>
          </w:p>
        </w:tc>
        <w:tc>
          <w:tcPr/>
          <w:p>
            <w:pPr>
              <w:pStyle w:val="Compact"/>
            </w:pPr>
            <w:r>
              <w:t xml:space="preserve">≤−0.2%</w:t>
            </w:r>
          </w:p>
        </w:tc>
        <w:tc>
          <w:tcPr/>
          <w:p>
            <w:pPr>
              <w:pStyle w:val="Compact"/>
            </w:pPr>
            <w:r>
              <w:t xml:space="preserve">≥+0.6%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Headline MoM</w:t>
            </w:r>
          </w:p>
        </w:tc>
        <w:tc>
          <w:tcPr/>
          <w:p>
            <w:pPr>
              <w:pStyle w:val="Compact"/>
            </w:pPr>
            <w:r>
              <w:t xml:space="preserve">≤0.0%</w:t>
            </w:r>
          </w:p>
        </w:tc>
        <w:tc>
          <w:tcPr/>
          <w:p>
            <w:pPr>
              <w:pStyle w:val="Compact"/>
            </w:pPr>
            <w:r>
              <w:t xml:space="preserve">≥0.7%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Gasoline stations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big rise = price, not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Nonstore/online</w:t>
            </w:r>
          </w:p>
        </w:tc>
        <w:tc>
          <w:tcPr/>
          <w:p>
            <w:pPr>
              <w:pStyle w:val="Compact"/>
            </w:pPr>
            <w:r>
              <w:t xml:space="preserve">clearly negative</w:t>
            </w:r>
          </w:p>
        </w:tc>
        <w:tc>
          <w:tcPr/>
          <w:p>
            <w:pPr>
              <w:pStyle w:val="Compact"/>
            </w:pPr>
            <w:r>
              <w:t xml:space="preserve">still rising (falsifies our 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Autos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positive (TSLA 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Aug revision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up ≥0.3pp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Food services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strong (CCL proxy)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2Y first 15 min</w:t>
            </w:r>
          </w:p>
        </w:tc>
        <w:tc>
          <w:tcPr/>
          <w:p>
            <w:pPr>
              <w:pStyle w:val="Compact"/>
            </w:pPr>
            <w:r>
              <w:t xml:space="preserve">≤−4bp</w:t>
            </w:r>
          </w:p>
        </w:tc>
        <w:tc>
          <w:tcPr/>
          <w:p>
            <w:pPr>
              <w:pStyle w:val="Compact"/>
            </w:pPr>
            <w:r>
              <w:t xml:space="preserve">≥+4bp (attribute vs PPI via 2×2 matrix)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Initial claims (cons ~195–200k)</w:t>
            </w:r>
          </w:p>
        </w:tc>
        <w:tc>
          <w:tcPr/>
          <w:p>
            <w:pPr>
              <w:pStyle w:val="Compact"/>
            </w:pPr>
            <w:r>
              <w:t xml:space="preserve">≥215k</w:t>
            </w:r>
          </w:p>
        </w:tc>
        <w:tc>
          <w:tcPr/>
          <w:p>
            <w:pPr>
              <w:pStyle w:val="Compact"/>
            </w:pPr>
            <w:r>
              <w:t xml:space="preserve">≤190k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Philly (cons 28.4) / Empire (cons 10.3)</w:t>
            </w:r>
          </w:p>
        </w:tc>
        <w:tc>
          <w:tcPr/>
          <w:p>
            <w:pPr>
              <w:pStyle w:val="Compact"/>
            </w:pPr>
            <w:r>
              <w:t xml:space="preserve">well below</w:t>
            </w:r>
          </w:p>
        </w:tc>
        <w:tc>
          <w:tcPr/>
          <w:p>
            <w:pPr>
              <w:pStyle w:val="Compact"/>
            </w:pPr>
            <w:r>
              <w:t xml:space="preserve">well above</w:t>
            </w:r>
          </w:p>
        </w:tc>
      </w:tr>
    </w:tbl>
    <w:bookmarkEnd w:id="10"/>
    <w:bookmarkStart w:id="11" w:name="affected-names"/>
    <w:p>
      <w:pPr>
        <w:pStyle w:val="Heading2"/>
      </w:pPr>
      <w:r>
        <w:t xml:space="preserve">Affected names</w:t>
      </w:r>
    </w:p>
    <w:p>
      <w:pPr>
        <w:pStyle w:val="FirstParagraph"/>
      </w:pPr>
      <w:r>
        <w:t xml:space="preserve">Consumer: AAPL, TSLA, CCL. Rate-sensitive: ARM, PLTR, RKLB, CRWV, CRWD, MRVL. AI chain (NVDA/AVGO/TSM/MU) is driven today by TSMC’s results — don’t attribute to retail.</w:t>
      </w:r>
    </w:p>
    <w:bookmarkEnd w:id="11"/>
    <w:bookmarkStart w:id="12" w:name="falsifiers"/>
    <w:p>
      <w:pPr>
        <w:pStyle w:val="Heading2"/>
      </w:pPr>
      <w:r>
        <w:t xml:space="preserve">Falsifiers</w:t>
      </w:r>
    </w:p>
    <w:p>
      <w:pPr>
        <w:pStyle w:val="Compact"/>
        <w:numPr>
          <w:ilvl w:val="0"/>
          <w:numId w:val="1002"/>
        </w:numPr>
      </w:pPr>
      <w:r>
        <w:t xml:space="preserve">Control ≥+0.5% with nonstore still positive → payback thesis wrong. 2. Strong print but 2Y &lt;+2bp → retail low weight in reaction function. 3. Weak print but consumer names rally → market trades rates, not demand. 4. Strong headline/weak control but breakevens spike → gasoline second-round fear. 5. Big Aug upward revision → level stronger than MoM suggests.</w:t>
      </w:r>
    </w:p>
    <w:bookmarkEnd w:id="12"/>
    <w:bookmarkStart w:id="13" w:name="friday-follow-ups-post-only"/>
    <w:p>
      <w:pPr>
        <w:pStyle w:val="Heading2"/>
      </w:pPr>
      <w:r>
        <w:t xml:space="preserve">Friday follow-ups (post only)</w:t>
      </w:r>
    </w:p>
    <w:p>
      <w:pPr>
        <w:pStyle w:val="FirstParagraph"/>
      </w:pPr>
      <w:r>
        <w:t xml:space="preserve">Import prices Fri 08:30 ET = 20:30 SGT; Industrial production &amp; capacity utilization Fri 09:15 ET = 21:15 SGT (both CONFIRMED). IP consensus not verified — not invented.</w:t>
      </w:r>
    </w:p>
    <w:bookmarkEnd w:id="13"/>
    <w:bookmarkStart w:id="14" w:name="self-challenge"/>
    <w:p>
      <w:pPr>
        <w:pStyle w:val="Heading2"/>
      </w:pPr>
      <w:r>
        <w:t xml:space="preserve">Self-challenge</w:t>
      </w:r>
    </w:p>
    <w:p>
      <w:pPr>
        <w:pStyle w:val="FirstParagraph"/>
      </w:pPr>
      <w:r>
        <w:t xml:space="preserve">Our below-consensus lean rests on secondary previews; PPI may dominate the 2Y tonight; Warsh (Fri 11:30 SGT) may override both.</w:t>
      </w:r>
    </w:p>
    <w:p>
      <w:pPr>
        <w:pStyle w:val="BodyText"/>
      </w:pPr>
      <w:r>
        <w:t xml:space="preserve">Sources and assumptions: see ZH book §10–12 (same ledger). Charts in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2026-10-15T10:05:43Z</dcterms:created>
  <dcterms:modified xsi:type="dcterms:W3CDTF">2026-10-15T10:05:43Z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