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13e19a5a7b149ebc57591fa87502a82cf71a84"/>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$605.53｜市值</w:t>
      </w:r>
      <w:r>
        <w:t xml:space="preserve"> 988.5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1.92939（40位分析师）；收入一致预期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$120.67</w:t>
            </w:r>
          </w:p>
        </w:tc>
        <w:tc>
          <w:tcPr/>
          <w:p>
            <w:pPr>
              <w:pStyle w:val="Compact"/>
            </w:pPr>
            <w:r>
              <w:t xml:space="preserve">-80.1%</w:t>
            </w:r>
          </w:p>
        </w:tc>
      </w:tr>
      <w:tr>
        <w:tc>
          <w:tcPr/>
          <w:p>
            <w:pPr>
              <w:pStyle w:val="Compact"/>
            </w:pPr>
            <w:r>
              <w:t xml:space="preserve">2Q</w:t>
            </w:r>
          </w:p>
        </w:tc>
        <w:tc>
          <w:tcPr/>
          <w:p>
            <w:pPr>
              <w:pStyle w:val="Compact"/>
            </w:pPr>
            <w:r>
              <w:t xml:space="preserve">Base</w:t>
            </w:r>
          </w:p>
        </w:tc>
        <w:tc>
          <w:tcPr/>
          <w:p>
            <w:pPr>
              <w:pStyle w:val="Compact"/>
            </w:pPr>
            <w:r>
              <w:t xml:space="preserve">$303.16</w:t>
            </w:r>
          </w:p>
        </w:tc>
        <w:tc>
          <w:tcPr/>
          <w:p>
            <w:pPr>
              <w:pStyle w:val="Compact"/>
            </w:pPr>
            <w:r>
              <w:t xml:space="preserve">-49.9%</w:t>
            </w:r>
          </w:p>
        </w:tc>
      </w:tr>
      <w:tr>
        <w:tc>
          <w:tcPr/>
          <w:p>
            <w:pPr>
              <w:pStyle w:val="Compact"/>
            </w:pPr>
            <w:r>
              <w:t xml:space="preserve">2Q</w:t>
            </w:r>
          </w:p>
        </w:tc>
        <w:tc>
          <w:tcPr/>
          <w:p>
            <w:pPr>
              <w:pStyle w:val="Compact"/>
            </w:pPr>
            <w:r>
              <w:t xml:space="preserve">Bull</w:t>
            </w:r>
          </w:p>
        </w:tc>
        <w:tc>
          <w:tcPr/>
          <w:p>
            <w:pPr>
              <w:pStyle w:val="Compact"/>
            </w:pPr>
            <w:r>
              <w:t xml:space="preserve">$532.17</w:t>
            </w:r>
          </w:p>
        </w:tc>
        <w:tc>
          <w:tcPr/>
          <w:p>
            <w:pPr>
              <w:pStyle w:val="Compact"/>
            </w:pPr>
            <w:r>
              <w:t xml:space="preserve">-12.1%</w:t>
            </w:r>
          </w:p>
        </w:tc>
      </w:tr>
      <w:tr>
        <w:tc>
          <w:tcPr/>
          <w:p>
            <w:pPr>
              <w:pStyle w:val="Compact"/>
            </w:pPr>
            <w:r>
              <w:t xml:space="preserve">4Q</w:t>
            </w:r>
          </w:p>
        </w:tc>
        <w:tc>
          <w:tcPr/>
          <w:p>
            <w:pPr>
              <w:pStyle w:val="Compact"/>
            </w:pPr>
            <w:r>
              <w:t xml:space="preserve">Bear</w:t>
            </w:r>
          </w:p>
        </w:tc>
        <w:tc>
          <w:tcPr/>
          <w:p>
            <w:pPr>
              <w:pStyle w:val="Compact"/>
            </w:pPr>
            <w:r>
              <w:t xml:space="preserve">$131.26</w:t>
            </w:r>
          </w:p>
        </w:tc>
        <w:tc>
          <w:tcPr/>
          <w:p>
            <w:pPr>
              <w:pStyle w:val="Compact"/>
            </w:pPr>
            <w:r>
              <w:t xml:space="preserve">-78.3%</w:t>
            </w:r>
          </w:p>
        </w:tc>
      </w:tr>
      <w:tr>
        <w:tc>
          <w:tcPr/>
          <w:p>
            <w:pPr>
              <w:pStyle w:val="Compact"/>
            </w:pPr>
            <w:r>
              <w:t xml:space="preserve">4Q</w:t>
            </w:r>
          </w:p>
        </w:tc>
        <w:tc>
          <w:tcPr/>
          <w:p>
            <w:pPr>
              <w:pStyle w:val="Compact"/>
            </w:pPr>
            <w:r>
              <w:t xml:space="preserve">Base</w:t>
            </w:r>
          </w:p>
        </w:tc>
        <w:tc>
          <w:tcPr/>
          <w:p>
            <w:pPr>
              <w:pStyle w:val="Compact"/>
            </w:pPr>
            <w:r>
              <w:t xml:space="preserve">$382.80</w:t>
            </w:r>
          </w:p>
        </w:tc>
        <w:tc>
          <w:tcPr/>
          <w:p>
            <w:pPr>
              <w:pStyle w:val="Compact"/>
            </w:pPr>
            <w:r>
              <w:t xml:space="preserve">-36.8%</w:t>
            </w:r>
          </w:p>
        </w:tc>
      </w:tr>
      <w:tr>
        <w:tc>
          <w:tcPr/>
          <w:p>
            <w:pPr>
              <w:pStyle w:val="Compact"/>
            </w:pPr>
            <w:r>
              <w:t xml:space="preserve">4Q</w:t>
            </w:r>
          </w:p>
        </w:tc>
        <w:tc>
          <w:tcPr/>
          <w:p>
            <w:pPr>
              <w:pStyle w:val="Compact"/>
            </w:pPr>
            <w:r>
              <w:t xml:space="preserve">Bull</w:t>
            </w:r>
          </w:p>
        </w:tc>
        <w:tc>
          <w:tcPr/>
          <w:p>
            <w:pPr>
              <w:pStyle w:val="Compact"/>
            </w:pPr>
            <w:r>
              <w:t xml:space="preserve">$727.04</w:t>
            </w:r>
          </w:p>
        </w:tc>
        <w:tc>
          <w:tcPr/>
          <w:p>
            <w:pPr>
              <w:pStyle w:val="Compact"/>
            </w:pPr>
            <w:r>
              <w:t xml:space="preserve">20.1%</w:t>
            </w:r>
          </w:p>
        </w:tc>
      </w:tr>
      <w:tr>
        <w:tc>
          <w:tcPr/>
          <w:p>
            <w:pPr>
              <w:pStyle w:val="Compact"/>
            </w:pPr>
            <w:r>
              <w:t xml:space="preserve">6Q</w:t>
            </w:r>
          </w:p>
        </w:tc>
        <w:tc>
          <w:tcPr/>
          <w:p>
            <w:pPr>
              <w:pStyle w:val="Compact"/>
            </w:pPr>
            <w:r>
              <w:t xml:space="preserve">Bear</w:t>
            </w:r>
          </w:p>
        </w:tc>
        <w:tc>
          <w:tcPr/>
          <w:p>
            <w:pPr>
              <w:pStyle w:val="Compact"/>
            </w:pPr>
            <w:r>
              <w:t xml:space="preserve">$142.89</w:t>
            </w:r>
          </w:p>
        </w:tc>
        <w:tc>
          <w:tcPr/>
          <w:p>
            <w:pPr>
              <w:pStyle w:val="Compact"/>
            </w:pPr>
            <w:r>
              <w:t xml:space="preserve">-76.4%</w:t>
            </w:r>
          </w:p>
        </w:tc>
      </w:tr>
      <w:tr>
        <w:tc>
          <w:tcPr/>
          <w:p>
            <w:pPr>
              <w:pStyle w:val="Compact"/>
            </w:pPr>
            <w:r>
              <w:t xml:space="preserve">6Q</w:t>
            </w:r>
          </w:p>
        </w:tc>
        <w:tc>
          <w:tcPr/>
          <w:p>
            <w:pPr>
              <w:pStyle w:val="Compact"/>
            </w:pPr>
            <w:r>
              <w:t xml:space="preserve">Base</w:t>
            </w:r>
          </w:p>
        </w:tc>
        <w:tc>
          <w:tcPr/>
          <w:p>
            <w:pPr>
              <w:pStyle w:val="Compact"/>
            </w:pPr>
            <w:r>
              <w:t xml:space="preserve">$483.68</w:t>
            </w:r>
          </w:p>
        </w:tc>
        <w:tc>
          <w:tcPr/>
          <w:p>
            <w:pPr>
              <w:pStyle w:val="Compact"/>
            </w:pPr>
            <w:r>
              <w:t xml:space="preserve">-20.1%</w:t>
            </w:r>
          </w:p>
        </w:tc>
      </w:tr>
      <w:tr>
        <w:tc>
          <w:tcPr/>
          <w:p>
            <w:pPr>
              <w:pStyle w:val="Compact"/>
            </w:pPr>
            <w:r>
              <w:t xml:space="preserve">6Q</w:t>
            </w:r>
          </w:p>
        </w:tc>
        <w:tc>
          <w:tcPr/>
          <w:p>
            <w:pPr>
              <w:pStyle w:val="Compact"/>
            </w:pPr>
            <w:r>
              <w:t xml:space="preserve">Bull</w:t>
            </w:r>
          </w:p>
        </w:tc>
        <w:tc>
          <w:tcPr/>
          <w:p>
            <w:pPr>
              <w:pStyle w:val="Compact"/>
            </w:pPr>
            <w:r>
              <w:t xml:space="preserve">$992.95</w:t>
            </w:r>
          </w:p>
        </w:tc>
        <w:tc>
          <w:tcPr/>
          <w:p>
            <w:pPr>
              <w:pStyle w:val="Compact"/>
            </w:pPr>
            <w:r>
              <w:t xml:space="preserve">64.0%</w:t>
            </w:r>
          </w:p>
        </w:tc>
      </w:tr>
      <w:tr>
        <w:tc>
          <w:tcPr/>
          <w:p>
            <w:pPr>
              <w:pStyle w:val="Compact"/>
            </w:pPr>
            <w:r>
              <w:t xml:space="preserve">8Q</w:t>
            </w:r>
          </w:p>
        </w:tc>
        <w:tc>
          <w:tcPr/>
          <w:p>
            <w:pPr>
              <w:pStyle w:val="Compact"/>
            </w:pPr>
            <w:r>
              <w:t xml:space="preserve">Bear</w:t>
            </w:r>
          </w:p>
        </w:tc>
        <w:tc>
          <w:tcPr/>
          <w:p>
            <w:pPr>
              <w:pStyle w:val="Compact"/>
            </w:pPr>
            <w:r>
              <w:t xml:space="preserve">$155.67</w:t>
            </w:r>
          </w:p>
        </w:tc>
        <w:tc>
          <w:tcPr/>
          <w:p>
            <w:pPr>
              <w:pStyle w:val="Compact"/>
            </w:pPr>
            <w:r>
              <w:t xml:space="preserve">-74.3%</w:t>
            </w:r>
          </w:p>
        </w:tc>
      </w:tr>
      <w:tr>
        <w:tc>
          <w:tcPr/>
          <w:p>
            <w:pPr>
              <w:pStyle w:val="Compact"/>
            </w:pPr>
            <w:r>
              <w:t xml:space="preserve">8Q</w:t>
            </w:r>
          </w:p>
        </w:tc>
        <w:tc>
          <w:tcPr/>
          <w:p>
            <w:pPr>
              <w:pStyle w:val="Compact"/>
            </w:pPr>
            <w:r>
              <w:t xml:space="preserve">Base</w:t>
            </w:r>
          </w:p>
        </w:tc>
        <w:tc>
          <w:tcPr/>
          <w:p>
            <w:pPr>
              <w:pStyle w:val="Compact"/>
            </w:pPr>
            <w:r>
              <w:t xml:space="preserve">$611.41</w:t>
            </w:r>
          </w:p>
        </w:tc>
        <w:tc>
          <w:tcPr/>
          <w:p>
            <w:pPr>
              <w:pStyle w:val="Compact"/>
            </w:pPr>
            <w:r>
              <w:t xml:space="preserve">1.0%</w:t>
            </w:r>
          </w:p>
        </w:tc>
      </w:tr>
      <w:tr>
        <w:tc>
          <w:tcPr/>
          <w:p>
            <w:pPr>
              <w:pStyle w:val="Compact"/>
            </w:pPr>
            <w:r>
              <w:t xml:space="preserve">8Q</w:t>
            </w:r>
          </w:p>
        </w:tc>
        <w:tc>
          <w:tcPr/>
          <w:p>
            <w:pPr>
              <w:pStyle w:val="Compact"/>
            </w:pPr>
            <w:r>
              <w:t xml:space="preserve">Bull</w:t>
            </w:r>
          </w:p>
        </w:tc>
        <w:tc>
          <w:tcPr/>
          <w:p>
            <w:pPr>
              <w:pStyle w:val="Compact"/>
            </w:pPr>
            <w:r>
              <w:t xml:space="preserve">$1,355.39</w:t>
            </w:r>
          </w:p>
        </w:tc>
        <w:tc>
          <w:tcPr/>
          <w:p>
            <w:pPr>
              <w:pStyle w:val="Compact"/>
            </w:pPr>
            <w:r>
              <w:t xml:space="preserve">123.8%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47.3x</w:t>
            </w:r>
          </w:p>
        </w:tc>
      </w:tr>
      <w:tr>
        <w:tc>
          <w:tcPr/>
          <w:p>
            <w:pPr>
              <w:pStyle w:val="Compact"/>
            </w:pPr>
            <w:r>
              <w:t xml:space="preserve">4Q</w:t>
            </w:r>
          </w:p>
        </w:tc>
        <w:tc>
          <w:tcPr/>
          <w:p>
            <w:pPr>
              <w:pStyle w:val="Compact"/>
            </w:pPr>
            <w:r>
              <w:t xml:space="preserve">35.0x</w:t>
            </w:r>
          </w:p>
        </w:tc>
      </w:tr>
      <w:tr>
        <w:tc>
          <w:tcPr/>
          <w:p>
            <w:pPr>
              <w:pStyle w:val="Compact"/>
            </w:pPr>
            <w:r>
              <w:t xml:space="preserve">6Q</w:t>
            </w:r>
          </w:p>
        </w:tc>
        <w:tc>
          <w:tcPr/>
          <w:p>
            <w:pPr>
              <w:pStyle w:val="Compact"/>
            </w:pPr>
            <w:r>
              <w:t xml:space="preserve">26.0x</w:t>
            </w:r>
          </w:p>
        </w:tc>
      </w:tr>
      <w:tr>
        <w:tc>
          <w:tcPr/>
          <w:p>
            <w:pPr>
              <w:pStyle w:val="Compact"/>
            </w:pPr>
            <w:r>
              <w:t xml:space="preserve">8Q</w:t>
            </w:r>
          </w:p>
        </w:tc>
        <w:tc>
          <w:tcPr/>
          <w:p>
            <w:pPr>
              <w:pStyle w:val="Compact"/>
            </w:pPr>
            <w:r>
              <w:t xml:space="preserve">19.3x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$159.30</w:t>
            </w:r>
          </w:p>
        </w:tc>
        <w:tc>
          <w:tcPr/>
          <w:p>
            <w:pPr>
              <w:pStyle w:val="Compact"/>
            </w:pPr>
            <w:r>
              <w:t xml:space="preserve">-73.7%</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$748.72</w:t>
            </w:r>
          </w:p>
        </w:tc>
        <w:tc>
          <w:tcPr/>
          <w:p>
            <w:pPr>
              <w:pStyle w:val="Compact"/>
            </w:pPr>
            <w:r>
              <w:t xml:space="preserve">23.6%</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$1,864.74</w:t>
            </w:r>
          </w:p>
        </w:tc>
        <w:tc>
          <w:tcPr/>
          <w:p>
            <w:pPr>
              <w:pStyle w:val="Compact"/>
            </w:pPr>
            <w:r>
              <w:t xml:space="preserve">208.0%</w:t>
            </w:r>
          </w:p>
        </w:tc>
      </w:tr>
    </w:tbl>
    <w:p>
      <w:pPr>
        <w:pStyle w:val="BodyText"/>
      </w:pPr>
      <w:r>
        <w:rPr>
          <w:rFonts w:hint="eastAsia"/>
        </w:rPr>
        <w:t xml:space="preserve">概率加权价值</w:t>
      </w:r>
      <w:r>
        <w:t xml:space="preserve"> </w:t>
      </w:r>
      <w:r>
        <w:rPr>
          <w:b/>
          <w:bCs/>
        </w:rPr>
        <w:t xml:space="preserve">$880.37</w:t>
      </w:r>
      <w:r>
        <w:rPr>
          <w:rFonts w:hint="eastAsia"/>
        </w:rPr>
        <w:t xml:space="preserve">（相对现价</w:t>
      </w:r>
      <w:r>
        <w:t xml:space="preserve"> </w:t>
      </w:r>
      <w:r>
        <w:rPr>
          <w:rFonts w:hint="eastAsia"/>
        </w:rPr>
        <w:t xml:space="preserve">45.4%）。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1,213.4 bn </w:t>
      </w:r>
      <w:r>
        <w:rPr>
          <w:rFonts w:hint="eastAsia"/>
        </w:rPr>
        <w:t xml:space="preserve">USD；终值占比</w:t>
      </w:r>
      <w:r>
        <w:t xml:space="preserve"> 57.0%。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67.7%</w:t>
      </w:r>
      <w:r>
        <w:rPr>
          <w:rFonts w:hint="eastAsia"/>
        </w:rPr>
        <w:t xml:space="preserve">；一致预期FY+1增速</w:t>
      </w:r>
      <w:r>
        <w:t xml:space="preserve"> 74.6%。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988.5 bn USD | 23.7x | 38.5x | 50.1% | 55.7% | 0.9% |</w:t>
      </w:r>
      <w:r>
        <w:t xml:space="preserve"> </w:t>
      </w:r>
      <w:r>
        <w:t xml:space="preserve">| NVDA | 5,518.1 bn USD | 18.1x | 14.4x | 105.9% | 74.7% | 0.8% |</w:t>
      </w:r>
      <w:r>
        <w:t xml:space="preserve"> </w:t>
      </w:r>
      <w:r>
        <w:t xml:space="preserve">| INTC | 543.5 bn USD | 9.7x | 49.2x | 25.4% | 38.9% | 0.9% |</w:t>
      </w:r>
      <w:r>
        <w:t xml:space="preserve"> </w:t>
      </w:r>
      <w:r>
        <w:t xml:space="preserve">| AVGO | 1,705.7 bn USD | 19.5x | 18.4x | 85.5% | 75.5% | 1.8% |</w:t>
      </w:r>
      <w:r>
        <w:t xml:space="preserve"> </w:t>
      </w:r>
      <w:r>
        <w:t xml:space="preserve">| ARM | 272.8 bn USD | 52.2x | 83.4x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605.5</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9.885e+11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0.7457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0.7457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eda32dd50987b78e85fc3ba5c8632eb9ee26f2"/>
    <w:p>
      <w:pPr>
        <w:pStyle w:val="Heading1"/>
      </w:pPr>
      <w:r>
        <w:t xml:space="preserve">AMD Advanced Micro Devices, Inc. — Equity Deep Dive (Professional English) v20261014-0758</w:t>
      </w:r>
    </w:p>
    <w:p>
      <w:pPr>
        <w:pStyle w:val="BlockText"/>
      </w:pPr>
      <w:r>
        <w:t xml:space="preserve">Data as of 2026-10-14 07:58 SGT | Price $605.53 | Mkt cap 988.5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1.92939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$120.67</w:t>
            </w:r>
          </w:p>
        </w:tc>
        <w:tc>
          <w:tcPr/>
          <w:p>
            <w:pPr>
              <w:pStyle w:val="Compact"/>
            </w:pPr>
            <w:r>
              <w:t xml:space="preserve">-80.1%</w:t>
            </w:r>
          </w:p>
        </w:tc>
      </w:tr>
      <w:tr>
        <w:tc>
          <w:tcPr/>
          <w:p>
            <w:pPr>
              <w:pStyle w:val="Compact"/>
            </w:pPr>
            <w:r>
              <w:t xml:space="preserve">2Q</w:t>
            </w:r>
          </w:p>
        </w:tc>
        <w:tc>
          <w:tcPr/>
          <w:p>
            <w:pPr>
              <w:pStyle w:val="Compact"/>
            </w:pPr>
            <w:r>
              <w:t xml:space="preserve">Base</w:t>
            </w:r>
          </w:p>
        </w:tc>
        <w:tc>
          <w:tcPr/>
          <w:p>
            <w:pPr>
              <w:pStyle w:val="Compact"/>
            </w:pPr>
            <w:r>
              <w:t xml:space="preserve">$303.16</w:t>
            </w:r>
          </w:p>
        </w:tc>
        <w:tc>
          <w:tcPr/>
          <w:p>
            <w:pPr>
              <w:pStyle w:val="Compact"/>
            </w:pPr>
            <w:r>
              <w:t xml:space="preserve">-49.9%</w:t>
            </w:r>
          </w:p>
        </w:tc>
      </w:tr>
      <w:tr>
        <w:tc>
          <w:tcPr/>
          <w:p>
            <w:pPr>
              <w:pStyle w:val="Compact"/>
            </w:pPr>
            <w:r>
              <w:t xml:space="preserve">2Q</w:t>
            </w:r>
          </w:p>
        </w:tc>
        <w:tc>
          <w:tcPr/>
          <w:p>
            <w:pPr>
              <w:pStyle w:val="Compact"/>
            </w:pPr>
            <w:r>
              <w:t xml:space="preserve">Bull</w:t>
            </w:r>
          </w:p>
        </w:tc>
        <w:tc>
          <w:tcPr/>
          <w:p>
            <w:pPr>
              <w:pStyle w:val="Compact"/>
            </w:pPr>
            <w:r>
              <w:t xml:space="preserve">$532.17</w:t>
            </w:r>
          </w:p>
        </w:tc>
        <w:tc>
          <w:tcPr/>
          <w:p>
            <w:pPr>
              <w:pStyle w:val="Compact"/>
            </w:pPr>
            <w:r>
              <w:t xml:space="preserve">-12.1%</w:t>
            </w:r>
          </w:p>
        </w:tc>
      </w:tr>
      <w:tr>
        <w:tc>
          <w:tcPr/>
          <w:p>
            <w:pPr>
              <w:pStyle w:val="Compact"/>
            </w:pPr>
            <w:r>
              <w:t xml:space="preserve">4Q</w:t>
            </w:r>
          </w:p>
        </w:tc>
        <w:tc>
          <w:tcPr/>
          <w:p>
            <w:pPr>
              <w:pStyle w:val="Compact"/>
            </w:pPr>
            <w:r>
              <w:t xml:space="preserve">Bear</w:t>
            </w:r>
          </w:p>
        </w:tc>
        <w:tc>
          <w:tcPr/>
          <w:p>
            <w:pPr>
              <w:pStyle w:val="Compact"/>
            </w:pPr>
            <w:r>
              <w:t xml:space="preserve">$131.26</w:t>
            </w:r>
          </w:p>
        </w:tc>
        <w:tc>
          <w:tcPr/>
          <w:p>
            <w:pPr>
              <w:pStyle w:val="Compact"/>
            </w:pPr>
            <w:r>
              <w:t xml:space="preserve">-78.3%</w:t>
            </w:r>
          </w:p>
        </w:tc>
      </w:tr>
      <w:tr>
        <w:tc>
          <w:tcPr/>
          <w:p>
            <w:pPr>
              <w:pStyle w:val="Compact"/>
            </w:pPr>
            <w:r>
              <w:t xml:space="preserve">4Q</w:t>
            </w:r>
          </w:p>
        </w:tc>
        <w:tc>
          <w:tcPr/>
          <w:p>
            <w:pPr>
              <w:pStyle w:val="Compact"/>
            </w:pPr>
            <w:r>
              <w:t xml:space="preserve">Base</w:t>
            </w:r>
          </w:p>
        </w:tc>
        <w:tc>
          <w:tcPr/>
          <w:p>
            <w:pPr>
              <w:pStyle w:val="Compact"/>
            </w:pPr>
            <w:r>
              <w:t xml:space="preserve">$382.80</w:t>
            </w:r>
          </w:p>
        </w:tc>
        <w:tc>
          <w:tcPr/>
          <w:p>
            <w:pPr>
              <w:pStyle w:val="Compact"/>
            </w:pPr>
            <w:r>
              <w:t xml:space="preserve">-36.8%</w:t>
            </w:r>
          </w:p>
        </w:tc>
      </w:tr>
      <w:tr>
        <w:tc>
          <w:tcPr/>
          <w:p>
            <w:pPr>
              <w:pStyle w:val="Compact"/>
            </w:pPr>
            <w:r>
              <w:t xml:space="preserve">4Q</w:t>
            </w:r>
          </w:p>
        </w:tc>
        <w:tc>
          <w:tcPr/>
          <w:p>
            <w:pPr>
              <w:pStyle w:val="Compact"/>
            </w:pPr>
            <w:r>
              <w:t xml:space="preserve">Bull</w:t>
            </w:r>
          </w:p>
        </w:tc>
        <w:tc>
          <w:tcPr/>
          <w:p>
            <w:pPr>
              <w:pStyle w:val="Compact"/>
            </w:pPr>
            <w:r>
              <w:t xml:space="preserve">$727.04</w:t>
            </w:r>
          </w:p>
        </w:tc>
        <w:tc>
          <w:tcPr/>
          <w:p>
            <w:pPr>
              <w:pStyle w:val="Compact"/>
            </w:pPr>
            <w:r>
              <w:t xml:space="preserve">20.1%</w:t>
            </w:r>
          </w:p>
        </w:tc>
      </w:tr>
      <w:tr>
        <w:tc>
          <w:tcPr/>
          <w:p>
            <w:pPr>
              <w:pStyle w:val="Compact"/>
            </w:pPr>
            <w:r>
              <w:t xml:space="preserve">6Q</w:t>
            </w:r>
          </w:p>
        </w:tc>
        <w:tc>
          <w:tcPr/>
          <w:p>
            <w:pPr>
              <w:pStyle w:val="Compact"/>
            </w:pPr>
            <w:r>
              <w:t xml:space="preserve">Bear</w:t>
            </w:r>
          </w:p>
        </w:tc>
        <w:tc>
          <w:tcPr/>
          <w:p>
            <w:pPr>
              <w:pStyle w:val="Compact"/>
            </w:pPr>
            <w:r>
              <w:t xml:space="preserve">$142.89</w:t>
            </w:r>
          </w:p>
        </w:tc>
        <w:tc>
          <w:tcPr/>
          <w:p>
            <w:pPr>
              <w:pStyle w:val="Compact"/>
            </w:pPr>
            <w:r>
              <w:t xml:space="preserve">-76.4%</w:t>
            </w:r>
          </w:p>
        </w:tc>
      </w:tr>
      <w:tr>
        <w:tc>
          <w:tcPr/>
          <w:p>
            <w:pPr>
              <w:pStyle w:val="Compact"/>
            </w:pPr>
            <w:r>
              <w:t xml:space="preserve">6Q</w:t>
            </w:r>
          </w:p>
        </w:tc>
        <w:tc>
          <w:tcPr/>
          <w:p>
            <w:pPr>
              <w:pStyle w:val="Compact"/>
            </w:pPr>
            <w:r>
              <w:t xml:space="preserve">Base</w:t>
            </w:r>
          </w:p>
        </w:tc>
        <w:tc>
          <w:tcPr/>
          <w:p>
            <w:pPr>
              <w:pStyle w:val="Compact"/>
            </w:pPr>
            <w:r>
              <w:t xml:space="preserve">$483.68</w:t>
            </w:r>
          </w:p>
        </w:tc>
        <w:tc>
          <w:tcPr/>
          <w:p>
            <w:pPr>
              <w:pStyle w:val="Compact"/>
            </w:pPr>
            <w:r>
              <w:t xml:space="preserve">-20.1%</w:t>
            </w:r>
          </w:p>
        </w:tc>
      </w:tr>
      <w:tr>
        <w:tc>
          <w:tcPr/>
          <w:p>
            <w:pPr>
              <w:pStyle w:val="Compact"/>
            </w:pPr>
            <w:r>
              <w:t xml:space="preserve">6Q</w:t>
            </w:r>
          </w:p>
        </w:tc>
        <w:tc>
          <w:tcPr/>
          <w:p>
            <w:pPr>
              <w:pStyle w:val="Compact"/>
            </w:pPr>
            <w:r>
              <w:t xml:space="preserve">Bull</w:t>
            </w:r>
          </w:p>
        </w:tc>
        <w:tc>
          <w:tcPr/>
          <w:p>
            <w:pPr>
              <w:pStyle w:val="Compact"/>
            </w:pPr>
            <w:r>
              <w:t xml:space="preserve">$992.95</w:t>
            </w:r>
          </w:p>
        </w:tc>
        <w:tc>
          <w:tcPr/>
          <w:p>
            <w:pPr>
              <w:pStyle w:val="Compact"/>
            </w:pPr>
            <w:r>
              <w:t xml:space="preserve">64.0%</w:t>
            </w:r>
          </w:p>
        </w:tc>
      </w:tr>
      <w:tr>
        <w:tc>
          <w:tcPr/>
          <w:p>
            <w:pPr>
              <w:pStyle w:val="Compact"/>
            </w:pPr>
            <w:r>
              <w:t xml:space="preserve">8Q</w:t>
            </w:r>
          </w:p>
        </w:tc>
        <w:tc>
          <w:tcPr/>
          <w:p>
            <w:pPr>
              <w:pStyle w:val="Compact"/>
            </w:pPr>
            <w:r>
              <w:t xml:space="preserve">Bear</w:t>
            </w:r>
          </w:p>
        </w:tc>
        <w:tc>
          <w:tcPr/>
          <w:p>
            <w:pPr>
              <w:pStyle w:val="Compact"/>
            </w:pPr>
            <w:r>
              <w:t xml:space="preserve">$155.67</w:t>
            </w:r>
          </w:p>
        </w:tc>
        <w:tc>
          <w:tcPr/>
          <w:p>
            <w:pPr>
              <w:pStyle w:val="Compact"/>
            </w:pPr>
            <w:r>
              <w:t xml:space="preserve">-74.3%</w:t>
            </w:r>
          </w:p>
        </w:tc>
      </w:tr>
      <w:tr>
        <w:tc>
          <w:tcPr/>
          <w:p>
            <w:pPr>
              <w:pStyle w:val="Compact"/>
            </w:pPr>
            <w:r>
              <w:t xml:space="preserve">8Q</w:t>
            </w:r>
          </w:p>
        </w:tc>
        <w:tc>
          <w:tcPr/>
          <w:p>
            <w:pPr>
              <w:pStyle w:val="Compact"/>
            </w:pPr>
            <w:r>
              <w:t xml:space="preserve">Base</w:t>
            </w:r>
          </w:p>
        </w:tc>
        <w:tc>
          <w:tcPr/>
          <w:p>
            <w:pPr>
              <w:pStyle w:val="Compact"/>
            </w:pPr>
            <w:r>
              <w:t xml:space="preserve">$611.41</w:t>
            </w:r>
          </w:p>
        </w:tc>
        <w:tc>
          <w:tcPr/>
          <w:p>
            <w:pPr>
              <w:pStyle w:val="Compact"/>
            </w:pPr>
            <w:r>
              <w:t xml:space="preserve">1.0%</w:t>
            </w:r>
          </w:p>
        </w:tc>
      </w:tr>
      <w:tr>
        <w:tc>
          <w:tcPr/>
          <w:p>
            <w:pPr>
              <w:pStyle w:val="Compact"/>
            </w:pPr>
            <w:r>
              <w:t xml:space="preserve">8Q</w:t>
            </w:r>
          </w:p>
        </w:tc>
        <w:tc>
          <w:tcPr/>
          <w:p>
            <w:pPr>
              <w:pStyle w:val="Compact"/>
            </w:pPr>
            <w:r>
              <w:t xml:space="preserve">Bull</w:t>
            </w:r>
          </w:p>
        </w:tc>
        <w:tc>
          <w:tcPr/>
          <w:p>
            <w:pPr>
              <w:pStyle w:val="Compact"/>
            </w:pPr>
            <w:r>
              <w:t xml:space="preserve">$1,355.39</w:t>
            </w:r>
          </w:p>
        </w:tc>
        <w:tc>
          <w:tcPr/>
          <w:p>
            <w:pPr>
              <w:pStyle w:val="Compact"/>
            </w:pPr>
            <w:r>
              <w:t xml:space="preserve">123.8%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47.3x</w:t>
            </w:r>
          </w:p>
        </w:tc>
      </w:tr>
      <w:tr>
        <w:tc>
          <w:tcPr/>
          <w:p>
            <w:pPr>
              <w:pStyle w:val="Compact"/>
            </w:pPr>
            <w:r>
              <w:t xml:space="preserve">4Q</w:t>
            </w:r>
          </w:p>
        </w:tc>
        <w:tc>
          <w:tcPr/>
          <w:p>
            <w:pPr>
              <w:pStyle w:val="Compact"/>
            </w:pPr>
            <w:r>
              <w:t xml:space="preserve">35.0x</w:t>
            </w:r>
          </w:p>
        </w:tc>
      </w:tr>
      <w:tr>
        <w:tc>
          <w:tcPr/>
          <w:p>
            <w:pPr>
              <w:pStyle w:val="Compact"/>
            </w:pPr>
            <w:r>
              <w:t xml:space="preserve">6Q</w:t>
            </w:r>
          </w:p>
        </w:tc>
        <w:tc>
          <w:tcPr/>
          <w:p>
            <w:pPr>
              <w:pStyle w:val="Compact"/>
            </w:pPr>
            <w:r>
              <w:t xml:space="preserve">26.0x</w:t>
            </w:r>
          </w:p>
        </w:tc>
      </w:tr>
      <w:tr>
        <w:tc>
          <w:tcPr/>
          <w:p>
            <w:pPr>
              <w:pStyle w:val="Compact"/>
            </w:pPr>
            <w:r>
              <w:t xml:space="preserve">8Q</w:t>
            </w:r>
          </w:p>
        </w:tc>
        <w:tc>
          <w:tcPr/>
          <w:p>
            <w:pPr>
              <w:pStyle w:val="Compact"/>
            </w:pPr>
            <w:r>
              <w:t xml:space="preserve">19.3x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$159.30</w:t>
            </w:r>
          </w:p>
        </w:tc>
        <w:tc>
          <w:tcPr/>
          <w:p>
            <w:pPr>
              <w:pStyle w:val="Compact"/>
            </w:pPr>
            <w:r>
              <w:t xml:space="preserve">-73.7%</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$748.72</w:t>
            </w:r>
          </w:p>
        </w:tc>
        <w:tc>
          <w:tcPr/>
          <w:p>
            <w:pPr>
              <w:pStyle w:val="Compact"/>
            </w:pPr>
            <w:r>
              <w:t xml:space="preserve">23.6%</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$1,864.74</w:t>
            </w:r>
          </w:p>
        </w:tc>
        <w:tc>
          <w:tcPr/>
          <w:p>
            <w:pPr>
              <w:pStyle w:val="Compact"/>
            </w:pPr>
            <w:r>
              <w:t xml:space="preserve">208.0%</w:t>
            </w:r>
          </w:p>
        </w:tc>
      </w:tr>
    </w:tbl>
    <w:p>
      <w:pPr>
        <w:pStyle w:val="BodyText"/>
      </w:pPr>
      <w:r>
        <w:t xml:space="preserve">Probability-weighted value</w:t>
      </w:r>
      <w:r>
        <w:t xml:space="preserve"> </w:t>
      </w:r>
      <w:r>
        <w:rPr>
          <w:b/>
          <w:bCs/>
        </w:rPr>
        <w:t xml:space="preserve">$880.37</w:t>
      </w:r>
      <w:r>
        <w:t xml:space="preserve"> </w:t>
      </w:r>
      <w:r>
        <w:t xml:space="preserve">(45.4%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1,213.4 bn USD; terminal share 57.0%.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67.7%</w:t>
      </w:r>
      <w:r>
        <w:t xml:space="preserve"> </w:t>
      </w:r>
      <w:r>
        <w:t xml:space="preserve">vs consensus FY+1 74.6%.</w:t>
      </w:r>
    </w:p>
    <w:p>
      <w:pPr>
        <w:pStyle w:val="Compact"/>
        <w:numPr>
          <w:ilvl w:val="0"/>
          <w:numId w:val="1013"/>
        </w:numPr>
      </w:pPr>
      <w:r>
        <w:t xml:space="preserve">WACC (CAPM) = rf 5.2% + β 1.60 × ERP 5.0% = 13.2%.</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2026-10-14T00:00:33Z</dcterms:created>
  <dcterms:modified xsi:type="dcterms:W3CDTF">2026-10-14T00:00:33Z</dcterms:modified>
</cp:coreProperties>
</file>

<file path=docProps/custom.xml><?xml version="1.0" encoding="utf-8"?>
<Properties xmlns="http://schemas.openxmlformats.org/officeDocument/2006/custom-properties" xmlns:vt="http://schemas.openxmlformats.org/officeDocument/2006/docPropsVTypes"/>
</file>