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vda-初学者教学版-中文-v20261014-0758"/>
    <w:p>
      <w:pPr>
        <w:pStyle w:val="Heading1"/>
      </w:pPr>
      <w:r>
        <w:t xml:space="preserve">NVDA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NVIDIA Corporation </w:t>
      </w:r>
      <w:r>
        <w:rPr>
          <w:rFonts w:hint="eastAsia"/>
        </w:rPr>
        <w:t xml:space="preserve">是一家</w:t>
      </w:r>
      <w:r>
        <w:t xml:space="preserve"> 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$228.52。我们的Base模型认为每股价值约</w:t>
      </w:r>
      <w:r>
        <w:t xml:space="preserve"> </w:t>
      </w:r>
      <w:r>
        <w:rPr>
          <w:rFonts w:hint="eastAsia"/>
        </w:rPr>
        <w:t xml:space="preserve">$548（139.7%）。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rPr>
          <w:rFonts w:hint="eastAsia"/>
        </w:rPr>
        <w:t xml:space="preserve">]（实际、预期、超预期%）。下次财报约</w:t>
      </w:r>
      <w:r>
        <w:t xml:space="preserve"> 2026-11-18。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compute GPU </w:t>
      </w:r>
      <w:r>
        <w:rPr>
          <w:rFonts w:hint="eastAsia"/>
        </w:rPr>
        <w:t xml:space="preserve">AI算力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68.2%；m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509.4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41.9%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216.7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191.4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13,204.9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68.2%；价格隐含增速</w:t>
      </w:r>
      <w:r>
        <w:t xml:space="preserve"> 41.3%。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$126 / Base $548 / Bull </w:t>
      </w:r>
      <w:r>
        <w:rPr>
          <w:rFonts w:hint="eastAsia"/>
        </w:rPr>
        <w:t xml:space="preserve">$1,308；概率加权</w:t>
      </w:r>
      <w:r>
        <w:t xml:space="preserve"> $632。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0f8375a0d37b7d108ed25ba4d6acdc209135a1"/>
    <w:p>
      <w:pPr>
        <w:pStyle w:val="Heading1"/>
      </w:pPr>
      <w:r>
        <w:t xml:space="preserve">NVDA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NVIDIA Corporation is a AI compute GPU </w:t>
      </w:r>
      <w:r>
        <w:rPr>
          <w:rFonts w:hint="eastAsia"/>
        </w:rPr>
        <w:t xml:space="preserve">AI算力</w:t>
      </w:r>
      <w:r>
        <w:t xml:space="preserve"> company. Price $228.52; our Base model value ≈ $548 (139.7%).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‘2.22’</w:t>
      </w:r>
      <w:r>
        <w:t xml:space="preserve">,</w:t>
      </w:r>
      <w:r>
        <w:t xml:space="preserve"> </w:t>
      </w:r>
      <w:r>
        <w:t xml:space="preserve">‘2.09113’</w:t>
      </w:r>
      <w:r>
        <w:t xml:space="preserve">,</w:t>
      </w:r>
      <w:r>
        <w:t xml:space="preserve"> </w:t>
      </w:r>
      <w:r>
        <w:t xml:space="preserve">‘0.0616’</w:t>
      </w:r>
      <w:r>
        <w:t xml:space="preserve">]. Next earnings ≈ 2026-11-18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303.0 bn USD; g₁ = 68.2%; m = long-run FCF margin = 45.0%; W = 13.2%.</w:t>
      </w:r>
      <w:r>
        <w:t xml:space="preserve"> </w:t>
      </w:r>
      <w:r>
        <w:t xml:space="preserve">R₁ = R₀×(1+g₁) = 509.4 bn USD; FCF₁ = 216.7 bn USD; PV = FCF₁/(1+W) = 191.4 bn USD; 10 years + terminal → EV 13,204.9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68.2%; price-implied growth 41.3%.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$126 / Base $548 / Bull $1,308; weighted $632.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Capex digestion in 2027, ASIC share gains, gross-margin pressure from HBM </w:t>
      </w:r>
      <w:r>
        <w:rPr>
          <w:rFonts w:hint="eastAsia"/>
        </w:rPr>
        <w:t xml:space="preserve">costs｜2027年Capex消化、ASIC份额提升、HBM成本压毛利</w:t>
      </w:r>
      <w:r>
        <w:t xml:space="preserve"> — Falsifiers: Top-4 hyperscaler capex guides down; DC revenue q/q growth &lt;5% two quarters; GM below </w:t>
      </w:r>
      <w:r>
        <w:rPr>
          <w:rFonts w:hint="eastAsia"/>
        </w:rPr>
        <w:t xml:space="preserve">mid-60s%｜四大云Capex下修；DC收入环比连续两季&lt;5%；毛利率跌破60%中段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NVD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2026-10-13T23:59:18Z</dcterms:created>
  <dcterms:modified xsi:type="dcterms:W3CDTF">2026-10-13T23:59:18Z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