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146f8bf80e409f8c1057b5efd4d6c880b4f62f"/>
    <w:p>
      <w:pPr>
        <w:pStyle w:val="Heading1"/>
      </w:pPr>
      <w:r>
        <w:t xml:space="preserve">PLTR Palantir Technologies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Palantir Technologies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$208.67；距</w:t>
      </w:r>
      <w:r>
        <w:t xml:space="preserve"> 2026-10-09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-0.0%。主题：AI</w:t>
      </w:r>
      <w:r>
        <w:t xml:space="preserve"> software platform </w:t>
      </w:r>
      <w:r>
        <w:rPr>
          <w:rFonts w:hint="eastAsia"/>
        </w:rPr>
        <w:t xml:space="preserve">AI软件平台。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88.0%，一致预期</w:t>
      </w:r>
      <w:r>
        <w:t xml:space="preserve"> </w:t>
      </w:r>
      <w:r>
        <w:rPr>
          <w:rFonts w:hint="eastAsia"/>
        </w:rPr>
        <w:t xml:space="preserve">50.1%；三情景价值</w:t>
      </w:r>
      <w:r>
        <w:t xml:space="preserve"> $23/$67/$136。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2026-11-03（TENTATIVE</w:t>
      </w:r>
      <w:r>
        <w:t xml:space="preserve"> </w:t>
      </w:r>
      <w:r>
        <w:rPr>
          <w:rFonts w:hint="eastAsia"/>
        </w:rPr>
        <w:t xml:space="preserve">直至公司确认）；盯：美国商业收入、TCV、RPO、客户数、调整后营业利润率。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AI software platform </w:t>
      </w:r>
      <w:r>
        <w:rPr>
          <w:rFonts w:hint="eastAsia"/>
        </w:rPr>
        <w:t xml:space="preserve">AI软件平台。持有者在乎的是：AIP推动美国商业收入高速增长，’Rule</w:t>
      </w:r>
      <w:r>
        <w:t xml:space="preserve"> of </w:t>
      </w:r>
      <w:r>
        <w:rPr>
          <w:rFonts w:hint="eastAsia"/>
        </w:rPr>
        <w:t xml:space="preserve">40’极高；但估值隐含数十年高增长，股价对增速边际变化极度敏感。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88.0%，一致预期</w:t>
      </w:r>
      <w:r>
        <w:t xml:space="preserve"> </w:t>
      </w:r>
      <w:r>
        <w:rPr>
          <w:rFonts w:hint="eastAsia"/>
        </w:rPr>
        <w:t xml:space="preserve">50.1%——市场定价比分析师更乐观。跑率/静态</w:t>
      </w:r>
      <w:r>
        <w:t xml:space="preserve"> P/E </w:t>
      </w:r>
      <w:r>
        <w:rPr>
          <w:rFonts w:hint="eastAsia"/>
        </w:rPr>
        <w:t xml:space="preserve">179.9×、前瞻</w:t>
      </w:r>
      <w:r>
        <w:t xml:space="preserve"> P/E </w:t>
      </w:r>
      <w:r>
        <w:rPr>
          <w:rFonts w:hint="eastAsia"/>
        </w:rPr>
        <w:t xml:space="preserve">88.7×（Yahoo）。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92.8%）→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84.7%）→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断点：Gov</w:t>
      </w:r>
      <w:r>
        <w:t xml:space="preserve"> budget/appropriations, forward-deployed engineer </w:t>
      </w:r>
      <w:r>
        <w:rPr>
          <w:rFonts w:hint="eastAsia"/>
        </w:rPr>
        <w:t xml:space="preserve">scaling｜政府预算拨款、驻场工程师扩张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折现。PLTR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84.7%；收入同比</w:t>
      </w:r>
      <w:r>
        <w:t xml:space="preserve"> </w:t>
      </w:r>
      <w:r>
        <w:rPr>
          <w:rFonts w:hint="eastAsia"/>
        </w:rPr>
        <w:t xml:space="preserve">92.8%。新闻多数改变的是现金流预期，而非折现率。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竞争者：Snowflake,</w:t>
      </w:r>
      <w:r>
        <w:t xml:space="preserve"> Databricks, hyperscaler AI stacks, defense primes, </w:t>
      </w:r>
      <w:r>
        <w:rPr>
          <w:rFonts w:hint="eastAsia"/>
        </w:rPr>
        <w:t xml:space="preserve">Anduril｜Snowflake、Databricks、云厂、国防承包商、Anduril。客户：US</w:t>
      </w:r>
      <w:r>
        <w:t xml:space="preserve"> DoD/intel agencies, NATO allies, US enterprises </w:t>
      </w:r>
      <w:r>
        <w:rPr>
          <w:rFonts w:hint="eastAsia"/>
        </w:rPr>
        <w:t xml:space="preserve">(AIP)｜美国国防/情报、北约、企业(AIP)。若</w:t>
      </w:r>
      <w:r>
        <w:t xml:space="preserve"> PLTR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看多会错，如果：Multiple</w:t>
      </w:r>
      <w:r>
        <w:t xml:space="preserve"> compression; gov budget delays (shutdown/CR); </w:t>
      </w:r>
      <w:r>
        <w:rPr>
          <w:rFonts w:hint="eastAsia"/>
        </w:rPr>
        <w:t xml:space="preserve">competition｜估值压缩；政府预算延迟；竞争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88.0%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50.1%；近几季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+25% / 2025-12 +9% / 2026-03 +18% / 2026-06 +19%。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买方押：US</w:t>
      </w:r>
      <w:r>
        <w:t xml:space="preserve"> commercial &gt;60% growth sustained; large gov programs (Maven, Army </w:t>
      </w:r>
      <w:r>
        <w:rPr>
          <w:rFonts w:hint="eastAsia"/>
        </w:rPr>
        <w:t xml:space="preserve">enterprise)｜商业高增长持续；大型政府项目。卖方押：Multiple</w:t>
      </w:r>
      <w:r>
        <w:t xml:space="preserve"> compression; gov budget delays (shutdown/CR); </w:t>
      </w:r>
      <w:r>
        <w:rPr>
          <w:rFonts w:hint="eastAsia"/>
        </w:rPr>
        <w:t xml:space="preserve">competition｜估值压缩；政府预算延迟；竞争。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2020 </w:t>
      </w:r>
      <w:r>
        <w:rPr>
          <w:rFonts w:hint="eastAsia"/>
        </w:rPr>
        <w:t xml:space="preserve">年以来最大的三次回撤：2021-01→2022-12</w:t>
      </w:r>
      <w:r>
        <w:t xml:space="preserve"> </w:t>
      </w:r>
      <w:r>
        <w:rPr>
          <w:rFonts w:hint="eastAsia"/>
        </w:rPr>
        <w:t xml:space="preserve">-85%；2025-11→2026-06</w:t>
      </w:r>
      <w:r>
        <w:t xml:space="preserve"> </w:t>
      </w:r>
      <w:r>
        <w:rPr>
          <w:rFonts w:hint="eastAsia"/>
        </w:rPr>
        <w:t xml:space="preserve">-48%；2025-02→2025-04</w:t>
      </w:r>
      <w:r>
        <w:t xml:space="preserve"> </w:t>
      </w:r>
      <w:r>
        <w:rPr>
          <w:rFonts w:hint="eastAsia"/>
        </w:rPr>
        <w:t xml:space="preserve">-41%；中位数</w:t>
      </w:r>
      <w:r>
        <w:t xml:space="preserve"> </w:t>
      </w:r>
      <w:r>
        <w:rPr>
          <w:rFonts w:hint="eastAsia"/>
        </w:rPr>
        <w:t xml:space="preserve">-48%。当前距高点</w:t>
      </w:r>
      <w:r>
        <w:t xml:space="preserve"> </w:t>
      </w:r>
      <w:r>
        <w:rPr>
          <w:rFonts w:hint="eastAsia"/>
        </w:rPr>
        <w:t xml:space="preserve">-0.0%。毛利率区间：78.6%–86.8%（本快照内）。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AIP推动美国商业收入高速增长，’Rule</w:t>
      </w:r>
      <w:r>
        <w:t xml:space="preserve"> of </w:t>
      </w:r>
      <w:r>
        <w:rPr>
          <w:rFonts w:hint="eastAsia"/>
        </w:rPr>
        <w:t xml:space="preserve">40’极高；但估值隐含数十年高增长，股价对增速边际变化极度敏感。（HYPOTHESIS）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$208.67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$67 </w:t>
      </w:r>
      <w:r>
        <w:rPr>
          <w:rFonts w:hint="eastAsia"/>
        </w:rPr>
        <w:t xml:space="preserve">209.4%，安全边际取决于假设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2021-01→2022-12 </w:t>
      </w:r>
      <w:r>
        <w:rPr>
          <w:rFonts w:hint="eastAsia"/>
        </w:rPr>
        <w:t xml:space="preserve">-85%；2025-11→2026-06</w:t>
      </w:r>
      <w:r>
        <w:t xml:space="preserve"> </w:t>
      </w:r>
      <w:r>
        <w:rPr>
          <w:rFonts w:hint="eastAsia"/>
        </w:rPr>
        <w:t xml:space="preserve">-48%；2025-02→2025-04</w:t>
      </w:r>
      <w:r>
        <w:t xml:space="preserve"> -41%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$208.67 vs Base </w:t>
            </w:r>
            <w:r>
              <w:rPr>
                <w:rFonts w:hint="eastAsia"/>
              </w:rPr>
              <w:t xml:space="preserve">价值</w:t>
            </w:r>
            <w:r>
              <w:t xml:space="preserve"> $67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88.0% vs </w:t>
            </w:r>
            <w:r>
              <w:rPr>
                <w:rFonts w:hint="eastAsia"/>
              </w:rPr>
              <w:t xml:space="preserve">一致预期</w:t>
            </w:r>
            <w:r>
              <w:t xml:space="preserve"> 50.1%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80.8% → 84.7%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+18% → +19%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+92.8%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-0.0%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88.0%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92.8%）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84.7%）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US commercial revenue, TCV, RPO, customer count, adj. op </w:t>
            </w:r>
            <w:r>
              <w:rPr>
                <w:rFonts w:hint="eastAsia"/>
              </w:rPr>
              <w:t xml:space="preserve">margin｜美国商业收入、TCV、RPO、客户数、调整后营业利润率</w:t>
            </w:r>
          </w:p>
        </w:tc>
        <w:tc>
          <w:tcPr/>
          <w:p>
            <w:pPr>
              <w:pStyle w:val="Compact"/>
            </w:pPr>
            <w:r>
              <w:t xml:space="preserve">US commercial growth decelerates sharply; net dollar retention falls; RPO </w:t>
            </w:r>
            <w:r>
              <w:rPr>
                <w:rFonts w:hint="eastAsia"/>
              </w:rPr>
              <w:t xml:space="preserve">stalls｜美国商业增速骤降；净留存率下降；RPO停滞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88.0%、共识</w:t>
      </w:r>
      <w:r>
        <w:t xml:space="preserve"> </w:t>
      </w:r>
      <w:r>
        <w:rPr>
          <w:rFonts w:hint="eastAsia"/>
        </w:rPr>
        <w:t xml:space="preserve">50.1%。如果公司下季’超预期’但只超共识不超隐含，股价可能怎样？为什么？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84.7%，区间</w:t>
      </w:r>
      <w:r>
        <w:t xml:space="preserve"> </w:t>
      </w:r>
      <w:r>
        <w:rPr>
          <w:rFonts w:hint="eastAsia"/>
        </w:rPr>
        <w:t xml:space="preserve">78.6%–86.8%。用’第一性原理’说明利润率下降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-48%，当前</w:t>
      </w:r>
      <w:r>
        <w:t xml:space="preserve"> </w:t>
      </w:r>
      <w:r>
        <w:rPr>
          <w:rFonts w:hint="eastAsia"/>
        </w:rPr>
        <w:t xml:space="preserve">-0.0%。为什么’已经跌了很多’不能单独作为买入理由？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3-财报后填写"/>
    <w:p>
      <w:pPr>
        <w:pStyle w:val="Heading2"/>
      </w:pPr>
      <w:r>
        <w:rPr>
          <w:rFonts w:hint="eastAsia"/>
        </w:rPr>
        <w:t xml:space="preserve">八、事后推理复盘（2026-11-03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PLTR thinking-first edition. Price $208.67; -0.0% from 2026-10-09 high. Reverse DCF: price implies ~88.0% Y1 growth vs consensus 50.1%. Scenario values $23/$67/$136; WACC 13.2%. Base rates: largest drawdowns since 2020: 2021-01→2022-12 </w:t>
      </w:r>
      <w:r>
        <w:rPr>
          <w:rFonts w:hint="eastAsia"/>
        </w:rPr>
        <w:t xml:space="preserve">-85%；2025-11→2026-06</w:t>
      </w:r>
      <w:r>
        <w:t xml:space="preserve"> </w:t>
      </w:r>
      <w:r>
        <w:rPr>
          <w:rFonts w:hint="eastAsia"/>
        </w:rPr>
        <w:t xml:space="preserve">-48%；2025-02→2025-04</w:t>
      </w:r>
      <w:r>
        <w:t xml:space="preserve"> -41%. Evidence weighting 6:7 (bull:bear). Falsifiers: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2026-10-14T00:04:01Z</dcterms:created>
  <dcterms:modified xsi:type="dcterms:W3CDTF">2026-10-14T00:04:01Z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