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1f97527e552c40ae9d1c430382e8cff28e0bed"/>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$375.23｜市值</w:t>
      </w:r>
      <w:r>
        <w:t xml:space="preserve"> 1,482.0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0.44952（24位分析师）；收入一致预期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-84.6%</w:t>
            </w:r>
          </w:p>
        </w:tc>
      </w:tr>
      <w:tr>
        <w:tc>
          <w:tcPr/>
          <w:p>
            <w:pPr>
              <w:pStyle w:val="Compact"/>
            </w:pPr>
            <w:r>
              <w:t xml:space="preserve">2Q</w:t>
            </w:r>
          </w:p>
        </w:tc>
        <w:tc>
          <w:tcPr/>
          <w:p>
            <w:pPr>
              <w:pStyle w:val="Compact"/>
            </w:pPr>
            <w:r>
              <w:t xml:space="preserve">Bull</w:t>
            </w:r>
          </w:p>
        </w:tc>
        <w:tc>
          <w:tcPr/>
          <w:p>
            <w:pPr>
              <w:pStyle w:val="Compact"/>
            </w:pPr>
            <w:r>
              <w:t xml:space="preserve">$87.58</w:t>
            </w:r>
          </w:p>
        </w:tc>
        <w:tc>
          <w:tcPr/>
          <w:p>
            <w:pPr>
              <w:pStyle w:val="Compact"/>
            </w:pPr>
            <w:r>
              <w:t xml:space="preserve">-76.7%</w:t>
            </w:r>
          </w:p>
        </w:tc>
      </w:tr>
      <w:tr>
        <w:tc>
          <w:tcPr/>
          <w:p>
            <w:pPr>
              <w:pStyle w:val="Compact"/>
            </w:pPr>
            <w:r>
              <w:t xml:space="preserve">4Q</w:t>
            </w:r>
          </w:p>
        </w:tc>
        <w:tc>
          <w:tcPr/>
          <w:p>
            <w:pPr>
              <w:pStyle w:val="Compact"/>
            </w:pPr>
            <w:r>
              <w:t xml:space="preserve">Bear</w:t>
            </w:r>
          </w:p>
        </w:tc>
        <w:tc>
          <w:tcPr/>
          <w:p>
            <w:pPr>
              <w:pStyle w:val="Compact"/>
            </w:pPr>
            <w:r>
              <w:t xml:space="preserve">$31.75</w:t>
            </w:r>
          </w:p>
        </w:tc>
        <w:tc>
          <w:tcPr/>
          <w:p>
            <w:pPr>
              <w:pStyle w:val="Compact"/>
            </w:pPr>
            <w:r>
              <w:t xml:space="preserve">-91.5%</w:t>
            </w:r>
          </w:p>
        </w:tc>
      </w:tr>
      <w:tr>
        <w:tc>
          <w:tcPr/>
          <w:p>
            <w:pPr>
              <w:pStyle w:val="Compact"/>
            </w:pPr>
            <w:r>
              <w:t xml:space="preserve">4Q</w:t>
            </w:r>
          </w:p>
        </w:tc>
        <w:tc>
          <w:tcPr/>
          <w:p>
            <w:pPr>
              <w:pStyle w:val="Compact"/>
            </w:pPr>
            <w:r>
              <w:t xml:space="preserve">Base</w:t>
            </w:r>
          </w:p>
        </w:tc>
        <w:tc>
          <w:tcPr/>
          <w:p>
            <w:pPr>
              <w:pStyle w:val="Compact"/>
            </w:pPr>
            <w:r>
              <w:t xml:space="preserve">$60.96</w:t>
            </w:r>
          </w:p>
        </w:tc>
        <w:tc>
          <w:tcPr/>
          <w:p>
            <w:pPr>
              <w:pStyle w:val="Compact"/>
            </w:pPr>
            <w:r>
              <w:t xml:space="preserve">-83.8%</w:t>
            </w:r>
          </w:p>
        </w:tc>
      </w:tr>
      <w:tr>
        <w:tc>
          <w:tcPr/>
          <w:p>
            <w:pPr>
              <w:pStyle w:val="Compact"/>
            </w:pPr>
            <w:r>
              <w:t xml:space="preserve">4Q</w:t>
            </w:r>
          </w:p>
        </w:tc>
        <w:tc>
          <w:tcPr/>
          <w:p>
            <w:pPr>
              <w:pStyle w:val="Compact"/>
            </w:pPr>
            <w:r>
              <w:t xml:space="preserve">Bull</w:t>
            </w:r>
          </w:p>
        </w:tc>
        <w:tc>
          <w:tcPr/>
          <w:p>
            <w:pPr>
              <w:pStyle w:val="Compact"/>
            </w:pPr>
            <w:r>
              <w:t xml:space="preserve">$95.68</w:t>
            </w:r>
          </w:p>
        </w:tc>
        <w:tc>
          <w:tcPr/>
          <w:p>
            <w:pPr>
              <w:pStyle w:val="Compact"/>
            </w:pPr>
            <w:r>
              <w:t xml:space="preserve">-74.5%</w:t>
            </w:r>
          </w:p>
        </w:tc>
      </w:tr>
      <w:tr>
        <w:tc>
          <w:tcPr/>
          <w:p>
            <w:pPr>
              <w:pStyle w:val="Compact"/>
            </w:pPr>
            <w:r>
              <w:t xml:space="preserve">6Q</w:t>
            </w:r>
          </w:p>
        </w:tc>
        <w:tc>
          <w:tcPr/>
          <w:p>
            <w:pPr>
              <w:pStyle w:val="Compact"/>
            </w:pPr>
            <w:r>
              <w:t xml:space="preserve">Bear</w:t>
            </w:r>
          </w:p>
        </w:tc>
        <w:tc>
          <w:tcPr/>
          <w:p>
            <w:pPr>
              <w:pStyle w:val="Compact"/>
            </w:pPr>
            <w:r>
              <w:t xml:space="preserve">$31.44</w:t>
            </w:r>
          </w:p>
        </w:tc>
        <w:tc>
          <w:tcPr/>
          <w:p>
            <w:pPr>
              <w:pStyle w:val="Compact"/>
            </w:pPr>
            <w:r>
              <w:t xml:space="preserve">-91.6%</w:t>
            </w:r>
          </w:p>
        </w:tc>
      </w:tr>
      <w:tr>
        <w:tc>
          <w:tcPr/>
          <w:p>
            <w:pPr>
              <w:pStyle w:val="Compact"/>
            </w:pPr>
            <w:r>
              <w:t xml:space="preserve">6Q</w:t>
            </w:r>
          </w:p>
        </w:tc>
        <w:tc>
          <w:tcPr/>
          <w:p>
            <w:pPr>
              <w:pStyle w:val="Compact"/>
            </w:pPr>
            <w:r>
              <w:t xml:space="preserve">Base</w:t>
            </w:r>
          </w:p>
        </w:tc>
        <w:tc>
          <w:tcPr/>
          <w:p>
            <w:pPr>
              <w:pStyle w:val="Compact"/>
            </w:pPr>
            <w:r>
              <w:t xml:space="preserve">$64.01</w:t>
            </w:r>
          </w:p>
        </w:tc>
        <w:tc>
          <w:tcPr/>
          <w:p>
            <w:pPr>
              <w:pStyle w:val="Compact"/>
            </w:pPr>
            <w:r>
              <w:t xml:space="preserve">-82.9%</w:t>
            </w:r>
          </w:p>
        </w:tc>
      </w:tr>
      <w:tr>
        <w:tc>
          <w:tcPr/>
          <w:p>
            <w:pPr>
              <w:pStyle w:val="Compact"/>
            </w:pPr>
            <w:r>
              <w:t xml:space="preserve">6Q</w:t>
            </w:r>
          </w:p>
        </w:tc>
        <w:tc>
          <w:tcPr/>
          <w:p>
            <w:pPr>
              <w:pStyle w:val="Compact"/>
            </w:pPr>
            <w:r>
              <w:t xml:space="preserve">Bull</w:t>
            </w:r>
          </w:p>
        </w:tc>
        <w:tc>
          <w:tcPr/>
          <w:p>
            <w:pPr>
              <w:pStyle w:val="Compact"/>
            </w:pPr>
            <w:r>
              <w:t xml:space="preserve">$104.12</w:t>
            </w:r>
          </w:p>
        </w:tc>
        <w:tc>
          <w:tcPr/>
          <w:p>
            <w:pPr>
              <w:pStyle w:val="Compact"/>
            </w:pPr>
            <w:r>
              <w:t xml:space="preserve">-72.3%</w:t>
            </w:r>
          </w:p>
        </w:tc>
      </w:tr>
      <w:tr>
        <w:tc>
          <w:tcPr/>
          <w:p>
            <w:pPr>
              <w:pStyle w:val="Compact"/>
            </w:pPr>
            <w:r>
              <w:t xml:space="preserve">8Q</w:t>
            </w:r>
          </w:p>
        </w:tc>
        <w:tc>
          <w:tcPr/>
          <w:p>
            <w:pPr>
              <w:pStyle w:val="Compact"/>
            </w:pPr>
            <w:r>
              <w:t xml:space="preserve">Bear</w:t>
            </w:r>
          </w:p>
        </w:tc>
        <w:tc>
          <w:tcPr/>
          <w:p>
            <w:pPr>
              <w:pStyle w:val="Compact"/>
            </w:pPr>
            <w:r>
              <w:t xml:space="preserve">$31.12</w:t>
            </w:r>
          </w:p>
        </w:tc>
        <w:tc>
          <w:tcPr/>
          <w:p>
            <w:pPr>
              <w:pStyle w:val="Compact"/>
            </w:pPr>
            <w:r>
              <w:t xml:space="preserve">-91.7%</w:t>
            </w:r>
          </w:p>
        </w:tc>
      </w:tr>
      <w:tr>
        <w:tc>
          <w:tcPr/>
          <w:p>
            <w:pPr>
              <w:pStyle w:val="Compact"/>
            </w:pPr>
            <w:r>
              <w:t xml:space="preserve">8Q</w:t>
            </w:r>
          </w:p>
        </w:tc>
        <w:tc>
          <w:tcPr/>
          <w:p>
            <w:pPr>
              <w:pStyle w:val="Compact"/>
            </w:pPr>
            <w:r>
              <w:t xml:space="preserve">Base</w:t>
            </w:r>
          </w:p>
        </w:tc>
        <w:tc>
          <w:tcPr/>
          <w:p>
            <w:pPr>
              <w:pStyle w:val="Compact"/>
            </w:pPr>
            <w:r>
              <w:t xml:space="preserve">$67.10</w:t>
            </w:r>
          </w:p>
        </w:tc>
        <w:tc>
          <w:tcPr/>
          <w:p>
            <w:pPr>
              <w:pStyle w:val="Compact"/>
            </w:pPr>
            <w:r>
              <w:t xml:space="preserve">-82.1%</w:t>
            </w:r>
          </w:p>
        </w:tc>
      </w:tr>
      <w:tr>
        <w:tc>
          <w:tcPr/>
          <w:p>
            <w:pPr>
              <w:pStyle w:val="Compact"/>
            </w:pPr>
            <w:r>
              <w:t xml:space="preserve">8Q</w:t>
            </w:r>
          </w:p>
        </w:tc>
        <w:tc>
          <w:tcPr/>
          <w:p>
            <w:pPr>
              <w:pStyle w:val="Compact"/>
            </w:pPr>
            <w:r>
              <w:t xml:space="preserve">Bull</w:t>
            </w:r>
          </w:p>
        </w:tc>
        <w:tc>
          <w:tcPr/>
          <w:p>
            <w:pPr>
              <w:pStyle w:val="Compact"/>
            </w:pPr>
            <w:r>
              <w:t xml:space="preserve">$112.93</w:t>
            </w:r>
          </w:p>
        </w:tc>
        <w:tc>
          <w:tcPr/>
          <w:p>
            <w:pPr>
              <w:pStyle w:val="Compact"/>
            </w:pPr>
            <w:r>
              <w:t xml:space="preserve">-69.9%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168.3x</w:t>
            </w:r>
          </w:p>
        </w:tc>
      </w:tr>
      <w:tr>
        <w:tc>
          <w:tcPr/>
          <w:p>
            <w:pPr>
              <w:pStyle w:val="Compact"/>
            </w:pPr>
            <w:r>
              <w:t xml:space="preserve">4Q</w:t>
            </w:r>
          </w:p>
        </w:tc>
        <w:tc>
          <w:tcPr/>
          <w:p>
            <w:pPr>
              <w:pStyle w:val="Compact"/>
            </w:pPr>
            <w:r>
              <w:t xml:space="preserve">148.3x</w:t>
            </w:r>
          </w:p>
        </w:tc>
      </w:tr>
      <w:tr>
        <w:tc>
          <w:tcPr/>
          <w:p>
            <w:pPr>
              <w:pStyle w:val="Compact"/>
            </w:pPr>
            <w:r>
              <w:t xml:space="preserve">6Q</w:t>
            </w:r>
          </w:p>
        </w:tc>
        <w:tc>
          <w:tcPr/>
          <w:p>
            <w:pPr>
              <w:pStyle w:val="Compact"/>
            </w:pPr>
            <w:r>
              <w:t xml:space="preserve">131.2x</w:t>
            </w:r>
          </w:p>
        </w:tc>
      </w:tr>
      <w:tr>
        <w:tc>
          <w:tcPr/>
          <w:p>
            <w:pPr>
              <w:pStyle w:val="Compact"/>
            </w:pPr>
            <w:r>
              <w:t xml:space="preserve">8Q</w:t>
            </w:r>
          </w:p>
        </w:tc>
        <w:tc>
          <w:tcPr/>
          <w:p>
            <w:pPr>
              <w:pStyle w:val="Compact"/>
            </w:pPr>
            <w:r>
              <w:t xml:space="preserve">116.4x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$27.36</w:t>
            </w:r>
          </w:p>
        </w:tc>
        <w:tc>
          <w:tcPr/>
          <w:p>
            <w:pPr>
              <w:pStyle w:val="Compact"/>
            </w:pPr>
            <w:r>
              <w:t xml:space="preserve">-92.7%</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$44.12</w:t>
            </w:r>
          </w:p>
        </w:tc>
        <w:tc>
          <w:tcPr/>
          <w:p>
            <w:pPr>
              <w:pStyle w:val="Compact"/>
            </w:pPr>
            <w:r>
              <w:t xml:space="preserve">-88.2%</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$61.83</w:t>
            </w:r>
          </w:p>
        </w:tc>
        <w:tc>
          <w:tcPr/>
          <w:p>
            <w:pPr>
              <w:pStyle w:val="Compact"/>
            </w:pPr>
            <w:r>
              <w:t xml:space="preserve">-83.5%</w:t>
            </w:r>
          </w:p>
        </w:tc>
      </w:tr>
    </w:tbl>
    <w:p>
      <w:pPr>
        <w:pStyle w:val="BodyText"/>
      </w:pPr>
      <w:r>
        <w:rPr>
          <w:rFonts w:hint="eastAsia"/>
        </w:rPr>
        <w:t xml:space="preserve">概率加权价值</w:t>
      </w:r>
      <w:r>
        <w:t xml:space="preserve"> </w:t>
      </w:r>
      <w:r>
        <w:rPr>
          <w:b/>
          <w:bCs/>
        </w:rPr>
        <w:t xml:space="preserve">$44.36</w:t>
      </w:r>
      <w:r>
        <w:rPr>
          <w:rFonts w:hint="eastAsia"/>
        </w:rPr>
        <w:t xml:space="preserve">（相对现价</w:t>
      </w:r>
      <w:r>
        <w:t xml:space="preserve"> </w:t>
      </w:r>
      <w:r>
        <w:rPr>
          <w:rFonts w:hint="eastAsia"/>
        </w:rPr>
        <w:t xml:space="preserve">-88.2%）。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146.8 bn </w:t>
      </w:r>
      <w:r>
        <w:rPr>
          <w:rFonts w:hint="eastAsia"/>
        </w:rPr>
        <w:t xml:space="preserve">USD；终值占比</w:t>
      </w:r>
      <w:r>
        <w:t xml:space="preserve"> 45.3%。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80.8%</w:t>
      </w:r>
      <w:r>
        <w:rPr>
          <w:rFonts w:hint="eastAsia"/>
        </w:rPr>
        <w:t xml:space="preserve">；一致预期FY+1增速</w:t>
      </w:r>
      <w:r>
        <w:t xml:space="preserve"> 13.6%。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1,482.0 bn USD | 14.0x | 171.9x | 25.5% | 18.9% | 0.4% |</w:t>
      </w:r>
      <w:r>
        <w:t xml:space="preserve"> </w:t>
      </w:r>
      <w:r>
        <w:t xml:space="preserve">| BYDDY | 85.6 bn USD | 0.1x | 11.4x | -3.2% | 17.9% | -112.5% |</w:t>
      </w:r>
      <w:r>
        <w:t xml:space="preserve"> </w:t>
      </w:r>
      <w:r>
        <w:t xml:space="preserve">| GM | 73.7 bn USD | 1.0x | 5.6x | 1.9% | 10.2% | 29.8% |</w:t>
      </w:r>
      <w:r>
        <w:t xml:space="preserve"> </w:t>
      </w:r>
      <w:r>
        <w:t xml:space="preserve">| RIVN | 19.4 bn USD | 3.3x | -7.7x | 27.2% | 7.5% | -8.0% |</w:t>
      </w:r>
      <w:r>
        <w:t xml:space="preserve"> </w:t>
      </w:r>
      <w:r>
        <w:t xml:space="preserve">| UBER | 145.7 bn USD | 2.8x | 16.2x | 12.2% | 40.8%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375.2</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1.482e+12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0.1297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0.1362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0.1362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07:58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04312537d4b839b510698aae4f65780fce8bc5"/>
    <w:p>
      <w:pPr>
        <w:pStyle w:val="Heading1"/>
      </w:pPr>
      <w:r>
        <w:t xml:space="preserve">TSLA Tesla, Inc. — Equity Deep Dive (Professional English) v20261014-0758</w:t>
      </w:r>
    </w:p>
    <w:p>
      <w:pPr>
        <w:pStyle w:val="BlockText"/>
      </w:pPr>
      <w:r>
        <w:t xml:space="preserve">Data as of 2026-10-14 07:58 SGT | Price $375.23 | Mkt cap 1,482.0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0.44952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-84.6%</w:t>
            </w:r>
          </w:p>
        </w:tc>
      </w:tr>
      <w:tr>
        <w:tc>
          <w:tcPr/>
          <w:p>
            <w:pPr>
              <w:pStyle w:val="Compact"/>
            </w:pPr>
            <w:r>
              <w:t xml:space="preserve">2Q</w:t>
            </w:r>
          </w:p>
        </w:tc>
        <w:tc>
          <w:tcPr/>
          <w:p>
            <w:pPr>
              <w:pStyle w:val="Compact"/>
            </w:pPr>
            <w:r>
              <w:t xml:space="preserve">Bull</w:t>
            </w:r>
          </w:p>
        </w:tc>
        <w:tc>
          <w:tcPr/>
          <w:p>
            <w:pPr>
              <w:pStyle w:val="Compact"/>
            </w:pPr>
            <w:r>
              <w:t xml:space="preserve">$87.58</w:t>
            </w:r>
          </w:p>
        </w:tc>
        <w:tc>
          <w:tcPr/>
          <w:p>
            <w:pPr>
              <w:pStyle w:val="Compact"/>
            </w:pPr>
            <w:r>
              <w:t xml:space="preserve">-76.7%</w:t>
            </w:r>
          </w:p>
        </w:tc>
      </w:tr>
      <w:tr>
        <w:tc>
          <w:tcPr/>
          <w:p>
            <w:pPr>
              <w:pStyle w:val="Compact"/>
            </w:pPr>
            <w:r>
              <w:t xml:space="preserve">4Q</w:t>
            </w:r>
          </w:p>
        </w:tc>
        <w:tc>
          <w:tcPr/>
          <w:p>
            <w:pPr>
              <w:pStyle w:val="Compact"/>
            </w:pPr>
            <w:r>
              <w:t xml:space="preserve">Bear</w:t>
            </w:r>
          </w:p>
        </w:tc>
        <w:tc>
          <w:tcPr/>
          <w:p>
            <w:pPr>
              <w:pStyle w:val="Compact"/>
            </w:pPr>
            <w:r>
              <w:t xml:space="preserve">$31.75</w:t>
            </w:r>
          </w:p>
        </w:tc>
        <w:tc>
          <w:tcPr/>
          <w:p>
            <w:pPr>
              <w:pStyle w:val="Compact"/>
            </w:pPr>
            <w:r>
              <w:t xml:space="preserve">-91.5%</w:t>
            </w:r>
          </w:p>
        </w:tc>
      </w:tr>
      <w:tr>
        <w:tc>
          <w:tcPr/>
          <w:p>
            <w:pPr>
              <w:pStyle w:val="Compact"/>
            </w:pPr>
            <w:r>
              <w:t xml:space="preserve">4Q</w:t>
            </w:r>
          </w:p>
        </w:tc>
        <w:tc>
          <w:tcPr/>
          <w:p>
            <w:pPr>
              <w:pStyle w:val="Compact"/>
            </w:pPr>
            <w:r>
              <w:t xml:space="preserve">Base</w:t>
            </w:r>
          </w:p>
        </w:tc>
        <w:tc>
          <w:tcPr/>
          <w:p>
            <w:pPr>
              <w:pStyle w:val="Compact"/>
            </w:pPr>
            <w:r>
              <w:t xml:space="preserve">$60.96</w:t>
            </w:r>
          </w:p>
        </w:tc>
        <w:tc>
          <w:tcPr/>
          <w:p>
            <w:pPr>
              <w:pStyle w:val="Compact"/>
            </w:pPr>
            <w:r>
              <w:t xml:space="preserve">-83.8%</w:t>
            </w:r>
          </w:p>
        </w:tc>
      </w:tr>
      <w:tr>
        <w:tc>
          <w:tcPr/>
          <w:p>
            <w:pPr>
              <w:pStyle w:val="Compact"/>
            </w:pPr>
            <w:r>
              <w:t xml:space="preserve">4Q</w:t>
            </w:r>
          </w:p>
        </w:tc>
        <w:tc>
          <w:tcPr/>
          <w:p>
            <w:pPr>
              <w:pStyle w:val="Compact"/>
            </w:pPr>
            <w:r>
              <w:t xml:space="preserve">Bull</w:t>
            </w:r>
          </w:p>
        </w:tc>
        <w:tc>
          <w:tcPr/>
          <w:p>
            <w:pPr>
              <w:pStyle w:val="Compact"/>
            </w:pPr>
            <w:r>
              <w:t xml:space="preserve">$95.68</w:t>
            </w:r>
          </w:p>
        </w:tc>
        <w:tc>
          <w:tcPr/>
          <w:p>
            <w:pPr>
              <w:pStyle w:val="Compact"/>
            </w:pPr>
            <w:r>
              <w:t xml:space="preserve">-74.5%</w:t>
            </w:r>
          </w:p>
        </w:tc>
      </w:tr>
      <w:tr>
        <w:tc>
          <w:tcPr/>
          <w:p>
            <w:pPr>
              <w:pStyle w:val="Compact"/>
            </w:pPr>
            <w:r>
              <w:t xml:space="preserve">6Q</w:t>
            </w:r>
          </w:p>
        </w:tc>
        <w:tc>
          <w:tcPr/>
          <w:p>
            <w:pPr>
              <w:pStyle w:val="Compact"/>
            </w:pPr>
            <w:r>
              <w:t xml:space="preserve">Bear</w:t>
            </w:r>
          </w:p>
        </w:tc>
        <w:tc>
          <w:tcPr/>
          <w:p>
            <w:pPr>
              <w:pStyle w:val="Compact"/>
            </w:pPr>
            <w:r>
              <w:t xml:space="preserve">$31.44</w:t>
            </w:r>
          </w:p>
        </w:tc>
        <w:tc>
          <w:tcPr/>
          <w:p>
            <w:pPr>
              <w:pStyle w:val="Compact"/>
            </w:pPr>
            <w:r>
              <w:t xml:space="preserve">-91.6%</w:t>
            </w:r>
          </w:p>
        </w:tc>
      </w:tr>
      <w:tr>
        <w:tc>
          <w:tcPr/>
          <w:p>
            <w:pPr>
              <w:pStyle w:val="Compact"/>
            </w:pPr>
            <w:r>
              <w:t xml:space="preserve">6Q</w:t>
            </w:r>
          </w:p>
        </w:tc>
        <w:tc>
          <w:tcPr/>
          <w:p>
            <w:pPr>
              <w:pStyle w:val="Compact"/>
            </w:pPr>
            <w:r>
              <w:t xml:space="preserve">Base</w:t>
            </w:r>
          </w:p>
        </w:tc>
        <w:tc>
          <w:tcPr/>
          <w:p>
            <w:pPr>
              <w:pStyle w:val="Compact"/>
            </w:pPr>
            <w:r>
              <w:t xml:space="preserve">$64.01</w:t>
            </w:r>
          </w:p>
        </w:tc>
        <w:tc>
          <w:tcPr/>
          <w:p>
            <w:pPr>
              <w:pStyle w:val="Compact"/>
            </w:pPr>
            <w:r>
              <w:t xml:space="preserve">-82.9%</w:t>
            </w:r>
          </w:p>
        </w:tc>
      </w:tr>
      <w:tr>
        <w:tc>
          <w:tcPr/>
          <w:p>
            <w:pPr>
              <w:pStyle w:val="Compact"/>
            </w:pPr>
            <w:r>
              <w:t xml:space="preserve">6Q</w:t>
            </w:r>
          </w:p>
        </w:tc>
        <w:tc>
          <w:tcPr/>
          <w:p>
            <w:pPr>
              <w:pStyle w:val="Compact"/>
            </w:pPr>
            <w:r>
              <w:t xml:space="preserve">Bull</w:t>
            </w:r>
          </w:p>
        </w:tc>
        <w:tc>
          <w:tcPr/>
          <w:p>
            <w:pPr>
              <w:pStyle w:val="Compact"/>
            </w:pPr>
            <w:r>
              <w:t xml:space="preserve">$104.12</w:t>
            </w:r>
          </w:p>
        </w:tc>
        <w:tc>
          <w:tcPr/>
          <w:p>
            <w:pPr>
              <w:pStyle w:val="Compact"/>
            </w:pPr>
            <w:r>
              <w:t xml:space="preserve">-72.3%</w:t>
            </w:r>
          </w:p>
        </w:tc>
      </w:tr>
      <w:tr>
        <w:tc>
          <w:tcPr/>
          <w:p>
            <w:pPr>
              <w:pStyle w:val="Compact"/>
            </w:pPr>
            <w:r>
              <w:t xml:space="preserve">8Q</w:t>
            </w:r>
          </w:p>
        </w:tc>
        <w:tc>
          <w:tcPr/>
          <w:p>
            <w:pPr>
              <w:pStyle w:val="Compact"/>
            </w:pPr>
            <w:r>
              <w:t xml:space="preserve">Bear</w:t>
            </w:r>
          </w:p>
        </w:tc>
        <w:tc>
          <w:tcPr/>
          <w:p>
            <w:pPr>
              <w:pStyle w:val="Compact"/>
            </w:pPr>
            <w:r>
              <w:t xml:space="preserve">$31.12</w:t>
            </w:r>
          </w:p>
        </w:tc>
        <w:tc>
          <w:tcPr/>
          <w:p>
            <w:pPr>
              <w:pStyle w:val="Compact"/>
            </w:pPr>
            <w:r>
              <w:t xml:space="preserve">-91.7%</w:t>
            </w:r>
          </w:p>
        </w:tc>
      </w:tr>
      <w:tr>
        <w:tc>
          <w:tcPr/>
          <w:p>
            <w:pPr>
              <w:pStyle w:val="Compact"/>
            </w:pPr>
            <w:r>
              <w:t xml:space="preserve">8Q</w:t>
            </w:r>
          </w:p>
        </w:tc>
        <w:tc>
          <w:tcPr/>
          <w:p>
            <w:pPr>
              <w:pStyle w:val="Compact"/>
            </w:pPr>
            <w:r>
              <w:t xml:space="preserve">Base</w:t>
            </w:r>
          </w:p>
        </w:tc>
        <w:tc>
          <w:tcPr/>
          <w:p>
            <w:pPr>
              <w:pStyle w:val="Compact"/>
            </w:pPr>
            <w:r>
              <w:t xml:space="preserve">$67.10</w:t>
            </w:r>
          </w:p>
        </w:tc>
        <w:tc>
          <w:tcPr/>
          <w:p>
            <w:pPr>
              <w:pStyle w:val="Compact"/>
            </w:pPr>
            <w:r>
              <w:t xml:space="preserve">-82.1%</w:t>
            </w:r>
          </w:p>
        </w:tc>
      </w:tr>
      <w:tr>
        <w:tc>
          <w:tcPr/>
          <w:p>
            <w:pPr>
              <w:pStyle w:val="Compact"/>
            </w:pPr>
            <w:r>
              <w:t xml:space="preserve">8Q</w:t>
            </w:r>
          </w:p>
        </w:tc>
        <w:tc>
          <w:tcPr/>
          <w:p>
            <w:pPr>
              <w:pStyle w:val="Compact"/>
            </w:pPr>
            <w:r>
              <w:t xml:space="preserve">Bull</w:t>
            </w:r>
          </w:p>
        </w:tc>
        <w:tc>
          <w:tcPr/>
          <w:p>
            <w:pPr>
              <w:pStyle w:val="Compact"/>
            </w:pPr>
            <w:r>
              <w:t xml:space="preserve">$112.93</w:t>
            </w:r>
          </w:p>
        </w:tc>
        <w:tc>
          <w:tcPr/>
          <w:p>
            <w:pPr>
              <w:pStyle w:val="Compact"/>
            </w:pPr>
            <w:r>
              <w:t xml:space="preserve">-69.9%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168.3x</w:t>
            </w:r>
          </w:p>
        </w:tc>
      </w:tr>
      <w:tr>
        <w:tc>
          <w:tcPr/>
          <w:p>
            <w:pPr>
              <w:pStyle w:val="Compact"/>
            </w:pPr>
            <w:r>
              <w:t xml:space="preserve">4Q</w:t>
            </w:r>
          </w:p>
        </w:tc>
        <w:tc>
          <w:tcPr/>
          <w:p>
            <w:pPr>
              <w:pStyle w:val="Compact"/>
            </w:pPr>
            <w:r>
              <w:t xml:space="preserve">148.3x</w:t>
            </w:r>
          </w:p>
        </w:tc>
      </w:tr>
      <w:tr>
        <w:tc>
          <w:tcPr/>
          <w:p>
            <w:pPr>
              <w:pStyle w:val="Compact"/>
            </w:pPr>
            <w:r>
              <w:t xml:space="preserve">6Q</w:t>
            </w:r>
          </w:p>
        </w:tc>
        <w:tc>
          <w:tcPr/>
          <w:p>
            <w:pPr>
              <w:pStyle w:val="Compact"/>
            </w:pPr>
            <w:r>
              <w:t xml:space="preserve">131.2x</w:t>
            </w:r>
          </w:p>
        </w:tc>
      </w:tr>
      <w:tr>
        <w:tc>
          <w:tcPr/>
          <w:p>
            <w:pPr>
              <w:pStyle w:val="Compact"/>
            </w:pPr>
            <w:r>
              <w:t xml:space="preserve">8Q</w:t>
            </w:r>
          </w:p>
        </w:tc>
        <w:tc>
          <w:tcPr/>
          <w:p>
            <w:pPr>
              <w:pStyle w:val="Compact"/>
            </w:pPr>
            <w:r>
              <w:t xml:space="preserve">116.4x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$27.36</w:t>
            </w:r>
          </w:p>
        </w:tc>
        <w:tc>
          <w:tcPr/>
          <w:p>
            <w:pPr>
              <w:pStyle w:val="Compact"/>
            </w:pPr>
            <w:r>
              <w:t xml:space="preserve">-92.7%</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$44.12</w:t>
            </w:r>
          </w:p>
        </w:tc>
        <w:tc>
          <w:tcPr/>
          <w:p>
            <w:pPr>
              <w:pStyle w:val="Compact"/>
            </w:pPr>
            <w:r>
              <w:t xml:space="preserve">-88.2%</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$61.83</w:t>
            </w:r>
          </w:p>
        </w:tc>
        <w:tc>
          <w:tcPr/>
          <w:p>
            <w:pPr>
              <w:pStyle w:val="Compact"/>
            </w:pPr>
            <w:r>
              <w:t xml:space="preserve">-83.5%</w:t>
            </w:r>
          </w:p>
        </w:tc>
      </w:tr>
    </w:tbl>
    <w:p>
      <w:pPr>
        <w:pStyle w:val="BodyText"/>
      </w:pPr>
      <w:r>
        <w:t xml:space="preserve">Probability-weighted value</w:t>
      </w:r>
      <w:r>
        <w:t xml:space="preserve"> </w:t>
      </w:r>
      <w:r>
        <w:rPr>
          <w:b/>
          <w:bCs/>
        </w:rPr>
        <w:t xml:space="preserve">$44.36</w:t>
      </w:r>
      <w:r>
        <w:t xml:space="preserve"> </w:t>
      </w:r>
      <w:r>
        <w:t xml:space="preserve">(-88.2%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146.8 bn USD; terminal share 45.3%.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80.8%</w:t>
      </w:r>
      <w:r>
        <w:t xml:space="preserve"> </w:t>
      </w:r>
      <w:r>
        <w:t xml:space="preserve">vs consensus FY+1 13.6%.</w:t>
      </w:r>
    </w:p>
    <w:p>
      <w:pPr>
        <w:pStyle w:val="Compact"/>
        <w:numPr>
          <w:ilvl w:val="0"/>
          <w:numId w:val="1013"/>
        </w:numPr>
      </w:pPr>
      <w:r>
        <w:t xml:space="preserve">WACC (CAPM) = rf 5.2% + β 1.60 × ERP 5.0% = 13.2%.</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07:58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2026-10-13T23:59:14Z</dcterms:created>
  <dcterms:modified xsi:type="dcterms:W3CDTF">2026-10-13T23:59:14Z</dcterms:modified>
</cp:coreProperties>
</file>

<file path=docProps/custom.xml><?xml version="1.0" encoding="utf-8"?>
<Properties xmlns="http://schemas.openxmlformats.org/officeDocument/2006/custom-properties" xmlns:vt="http://schemas.openxmlformats.org/officeDocument/2006/docPropsVTypes"/>
</file>