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33a5ab2d5add47b0ba4a6f595d5a6b934b387c1"/>
    <w:p>
      <w:pPr>
        <w:pStyle w:val="Heading1"/>
      </w:pPr>
      <w:r>
        <w:t xml:space="preserve">TSMC (TSM) Q3 2026 Pre-Event Book — English twin (v20261014-1806)</w:t>
      </w:r>
    </w:p>
    <w:p>
      <w:pPr>
        <w:pStyle w:val="BlockText"/>
      </w:pPr>
      <w:r>
        <w:rPr>
          <w:b/>
          <w:bCs/>
        </w:rPr>
        <w:t xml:space="preserve">Conference: Thu 2026-10-15 14:00 Taiwan = 14:00 SGT = 02:00 ET</w:t>
      </w:r>
      <w:r>
        <w:rPr>
          <w:rFonts w:hint="eastAsia"/>
        </w:rPr>
        <w:t xml:space="preserve">｜</w:t>
      </w:r>
      <w:r>
        <w:rPr>
          <w:b/>
          <w:bCs/>
        </w:rPr>
        <w:t xml:space="preserve">CONFIRMED</w:t>
      </w:r>
      <w:r>
        <w:t xml:space="preserve"> </w:t>
      </w:r>
      <w:r>
        <w:t xml:space="preserve">(TSMC IR). Quiet period Oct 5–14. Not investment advice.</w:t>
      </w:r>
    </w:p>
    <w:bookmarkStart w:id="9" w:name="snapshot"/>
    <w:p>
      <w:pPr>
        <w:pStyle w:val="Heading2"/>
      </w:pPr>
      <w:r>
        <w:t xml:space="preserve">Snapshot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Guidance (FACT):</w:t>
      </w:r>
      <w:r>
        <w:t xml:space="preserve"> </w:t>
      </w:r>
      <w:r>
        <w:t xml:space="preserve">Rev</w:t>
      </w:r>
      <w:r>
        <w:t xml:space="preserve"> </w:t>
      </w:r>
      <w:r>
        <w:rPr>
          <w:b/>
          <w:bCs/>
        </w:rPr>
        <w:t xml:space="preserve">US$44.6–45.8bn</w:t>
      </w:r>
      <w:r>
        <w:t xml:space="preserve">, FX 32.0, GM</w:t>
      </w:r>
      <w:r>
        <w:t xml:space="preserve"> </w:t>
      </w:r>
      <w:r>
        <w:rPr>
          <w:b/>
          <w:bCs/>
        </w:rPr>
        <w:t xml:space="preserve">65–67%</w:t>
      </w:r>
      <w:r>
        <w:t xml:space="preserve">, OM</w:t>
      </w:r>
      <w:r>
        <w:t xml:space="preserve"> </w:t>
      </w:r>
      <w:r>
        <w:rPr>
          <w:b/>
          <w:bCs/>
        </w:rPr>
        <w:t xml:space="preserve">56–58%</w:t>
      </w:r>
      <w:r>
        <w:t xml:space="preserve">. Q2: Rev 40.20bn, GM 67.7%, OM 60.3%.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Consensus (Yahoo 2026-10-14):</w:t>
      </w:r>
      <w:r>
        <w:t xml:space="preserve"> </w:t>
      </w:r>
      <w:r>
        <w:t xml:space="preserve">EPS</w:t>
      </w:r>
      <w:r>
        <w:t xml:space="preserve"> </w:t>
      </w:r>
      <w:r>
        <w:rPr>
          <w:b/>
          <w:bCs/>
        </w:rPr>
        <w:t xml:space="preserve">$4.524</w:t>
      </w:r>
      <w:r>
        <w:t xml:space="preserve"> </w:t>
      </w:r>
      <w:r>
        <w:t xml:space="preserve">(L 4.26 / H 4.85, n=9); Rev</w:t>
      </w:r>
      <w:r>
        <w:t xml:space="preserve"> </w:t>
      </w:r>
      <w:r>
        <w:rPr>
          <w:b/>
          <w:bCs/>
        </w:rPr>
        <w:t xml:space="preserve">TWD 1.460T</w:t>
      </w:r>
      <w:r>
        <w:t xml:space="preserve"> </w:t>
      </w:r>
      <w:r>
        <w:t xml:space="preserve">(n=28) ≈</w:t>
      </w:r>
      <w:r>
        <w:t xml:space="preserve"> </w:t>
      </w:r>
      <w:r>
        <w:rPr>
          <w:b/>
          <w:bCs/>
        </w:rPr>
        <w:t xml:space="preserve">$45.6bn @ 32</w:t>
      </w:r>
      <w:r>
        <w:t xml:space="preserve">; price ~$445.12.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 HYPOTHESIS:</w:t>
      </w:r>
      <w:r>
        <w:t xml:space="preserve"> </w:t>
      </w:r>
      <w:r>
        <w:t xml:space="preserve">Rev</w:t>
      </w:r>
      <w:r>
        <w:t xml:space="preserve"> </w:t>
      </w:r>
      <w:r>
        <w:rPr>
          <w:b/>
          <w:bCs/>
        </w:rPr>
        <w:t xml:space="preserve">$45.2bn</w:t>
      </w:r>
      <w:r>
        <w:t xml:space="preserve">, GM</w:t>
      </w:r>
      <w:r>
        <w:t xml:space="preserve"> </w:t>
      </w:r>
      <w:r>
        <w:rPr>
          <w:b/>
          <w:bCs/>
        </w:rPr>
        <w:t xml:space="preserve">66%</w:t>
      </w:r>
      <w:r>
        <w:t xml:space="preserve">, OM</w:t>
      </w:r>
      <w:r>
        <w:t xml:space="preserve"> </w:t>
      </w:r>
      <w:r>
        <w:rPr>
          <w:b/>
          <w:bCs/>
        </w:rPr>
        <w:t xml:space="preserve">57%</w:t>
      </w:r>
      <w:r>
        <w:t xml:space="preserve">, EPS</w:t>
      </w:r>
      <w:r>
        <w:t xml:space="preserve"> </w:t>
      </w:r>
      <w:r>
        <w:rPr>
          <w:b/>
          <w:bCs/>
        </w:rPr>
        <w:t xml:space="preserve">$4.50</w:t>
      </w:r>
      <w:r>
        <w:t xml:space="preserve">; Beat 30% / Inline 45% / Miss 25%.</w:t>
      </w:r>
    </w:p>
    <w:bookmarkEnd w:id="9"/>
    <w:bookmarkStart w:id="10" w:name="live-checklist-one-screen"/>
    <w:p>
      <w:pPr>
        <w:pStyle w:val="Heading2"/>
      </w:pPr>
      <w:r>
        <w:t xml:space="preserve">Live checklist (one screen)</w:t>
      </w:r>
    </w:p>
    <w:p>
      <w:pPr>
        <w:pStyle w:val="FirstParagraph"/>
      </w:pPr>
      <w:r>
        <w:t xml:space="preserve">Rev ≥45.8 / in-guide / &lt;44.6 · GM ≥67 / 65–67 / &lt;65 · EPS vs $4.52 · CoWoS/N2 · 2027 capex · AI vs phone/PC · China mix · peer tape (NVDA AVGO AMAT KLAC MU ARM INTC).</w:t>
      </w:r>
    </w:p>
    <w:bookmarkEnd w:id="10"/>
    <w:bookmarkStart w:id="11" w:name="falsifiers"/>
    <w:p>
      <w:pPr>
        <w:pStyle w:val="Heading2"/>
      </w:pPr>
      <w:r>
        <w:t xml:space="preserve">Falsifiers</w:t>
      </w:r>
    </w:p>
    <w:p>
      <w:pPr>
        <w:pStyle w:val="Compact"/>
        <w:numPr>
          <w:ilvl w:val="0"/>
          <w:numId w:val="1002"/>
        </w:numPr>
      </w:pPr>
      <w:r>
        <w:t xml:space="preserve">Beat print, down stock → guide/commentary priced. 2. Miss print, SOX up → macro/positioning. 3. Capex up, SPE down → returns fear. 4. OS outside bands → forecast error. 5. China mix drives idiosyncratic dump → geopolitics factor.</w:t>
      </w:r>
    </w:p>
    <w:p>
      <w:pPr>
        <w:pStyle w:val="FirstParagraph"/>
      </w:pPr>
      <w:r>
        <w:t xml:space="preserve">Charts: see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. Full bilingual teaching in ZH files.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2026-10-14T10:06:51Z</dcterms:created>
  <dcterms:modified xsi:type="dcterms:W3CDTF">2026-10-14T10:06:51Z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