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3422898ec2ec0b8eb598f380a555a2587fdb15"/>
    <w:p>
      <w:pPr>
        <w:pStyle w:val="Heading1"/>
      </w:pPr>
      <w:r>
        <w:t xml:space="preserve">AAPL Apple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$340.97｜市值</w:t>
      </w:r>
      <w:r>
        <w:t xml:space="preserve"> 4,976.2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苹果是高质量现金流+回购的复利机器；AI(Apple</w:t>
      </w:r>
      <w:r>
        <w:t xml:space="preserve"> </w:t>
      </w:r>
      <w:r>
        <w:rPr>
          <w:rFonts w:hint="eastAsia"/>
        </w:rPr>
        <w:t xml:space="preserve">Intelligence)换机周期是主要上行变量，存储成本上涨与服务业务监管是主要压力。</w:t>
      </w:r>
    </w:p>
    <w:p>
      <w:pPr>
        <w:pStyle w:val="Compact"/>
        <w:numPr>
          <w:ilvl w:val="0"/>
          <w:numId w:val="1001"/>
        </w:numPr>
      </w:pPr>
      <w:r>
        <w:rPr>
          <w:rFonts w:hint="eastAsia"/>
          <w:b/>
          <w:bCs/>
        </w:rPr>
        <w:t xml:space="preserve">多头驱动</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1"/>
        </w:numPr>
      </w:pPr>
      <w:r>
        <w:rPr>
          <w:rFonts w:hint="eastAsia"/>
          <w:b/>
          <w:bCs/>
        </w:rPr>
        <w:t xml:space="preserve">空头驱动</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1"/>
        </w:numPr>
      </w:pPr>
      <w:r>
        <w:rPr>
          <w:rFonts w:hint="eastAsia"/>
          <w:b/>
          <w:bCs/>
        </w:rPr>
        <w:t xml:space="preserve">证伪条件</w:t>
      </w:r>
      <w:r>
        <w:rPr>
          <w:b/>
          <w:bCs/>
        </w:rPr>
        <w:t xml:space="preserve"> Falsifiers</w:t>
      </w:r>
      <w:r>
        <w:t xml:space="preserve">: iPhone units decline y/y in upgrade cycle; services growth &lt;10%; GM guide </w:t>
      </w:r>
      <w:r>
        <w:rPr>
          <w:rFonts w:hint="eastAsia"/>
        </w:rPr>
        <w:t xml:space="preserve">down｜换机年iPhone仍同比下滑；服务增速&lt;10%；毛利指引下调</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Consumer hardware + services ecosystem </w:t>
      </w:r>
      <w:r>
        <w:rPr>
          <w:rFonts w:hint="eastAsia"/>
        </w:rPr>
        <w:t xml:space="preserve">消费电子+服务生态</w:t>
      </w:r>
    </w:p>
    <w:p>
      <w:pPr>
        <w:pStyle w:val="Compact"/>
        <w:numPr>
          <w:ilvl w:val="0"/>
          <w:numId w:val="1002"/>
        </w:numPr>
      </w:pPr>
      <w:r>
        <w:rPr>
          <w:rFonts w:hint="eastAsia"/>
        </w:rPr>
        <w:t xml:space="preserve">业务分部</w:t>
      </w:r>
      <w:r>
        <w:t xml:space="preserve"> Segments: </w:t>
      </w:r>
      <w:r>
        <w:rPr>
          <w:rFonts w:hint="eastAsia"/>
        </w:rPr>
        <w:t xml:space="preserve">iPhone；Services</w:t>
      </w:r>
      <w:r>
        <w:t xml:space="preserve"> </w:t>
      </w:r>
      <w:r>
        <w:rPr>
          <w:rFonts w:hint="eastAsia"/>
        </w:rPr>
        <w:t xml:space="preserve">服务；Mac；iPad；Wearables/Home</w:t>
      </w:r>
      <w:r>
        <w:t xml:space="preserve"> </w:t>
      </w:r>
      <w:r>
        <w:rPr>
          <w:rFonts w:hint="eastAsia"/>
        </w:rPr>
        <w:t xml:space="preserve">可穿戴</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02"/>
        </w:numPr>
      </w:pPr>
      <w:r>
        <w:rPr>
          <w:rFonts w:hint="eastAsia"/>
        </w:rPr>
        <w:t xml:space="preserve">主要客户:</w:t>
      </w:r>
      <w:r>
        <w:t xml:space="preserve"> Global consumers; carriers; </w:t>
      </w:r>
      <w:r>
        <w:rPr>
          <w:rFonts w:hint="eastAsia"/>
        </w:rPr>
        <w:t xml:space="preserve">enterprises｜全球消费者、运营商、企业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(A/M chips), Foxconn/Luxshare (assembly), Samsung/LG/BOE (displays), Micron/Kioxia (memory), Corning </w:t>
      </w:r>
      <w:r>
        <w:rPr>
          <w:rFonts w:hint="eastAsia"/>
        </w:rPr>
        <w:t xml:space="preserve">(glass)｜台积电、富士康/立讯、面板厂、存储厂、康宁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Chinese Android OEMs (Huawei, Xiaomi), </w:t>
      </w:r>
      <w:r>
        <w:rPr>
          <w:rFonts w:hint="eastAsia"/>
        </w:rPr>
        <w:t xml:space="preserve">Google｜三星、华为/小米、谷歌</w:t>
      </w:r>
    </w:p>
    <w:p>
      <w:pPr>
        <w:pStyle w:val="Compact"/>
        <w:numPr>
          <w:ilvl w:val="0"/>
          <w:numId w:val="1003"/>
        </w:numPr>
      </w:pPr>
      <w:r>
        <w:rPr>
          <w:rFonts w:hint="eastAsia"/>
        </w:rPr>
        <w:t xml:space="preserve">瓶颈/监管:</w:t>
      </w:r>
      <w:r>
        <w:t xml:space="preserve">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03"/>
        </w:numPr>
      </w:pPr>
      <w:r>
        <w:rPr>
          <w:rFonts w:hint="eastAsia"/>
        </w:rPr>
        <w:t xml:space="preserve">关键KPI:</w:t>
      </w:r>
      <w:r>
        <w:t xml:space="preserve"> iPhone revenue, Services growth, GM%, buybacks, China </w:t>
      </w:r>
      <w:r>
        <w:rPr>
          <w:rFonts w:hint="eastAsia"/>
        </w:rPr>
        <w:t xml:space="preserve">revenue｜iPhone收入、服务增速、毛利率、回购、大中华区收入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rPr>
          <w:rFonts w:hint="eastAsia"/>
        </w:rPr>
        <w:t xml:space="preserve">资产负债:</w:t>
      </w:r>
      <w:r>
        <w:t xml:space="preserve"> </w:t>
      </w:r>
      <w:r>
        <w:rPr>
          <w:rFonts w:hint="eastAsia"/>
        </w:rPr>
        <w:t xml:space="preserve">现金</w:t>
      </w:r>
      <w:r>
        <w:t xml:space="preserve"> 62.4 bn </w:t>
      </w:r>
      <w:r>
        <w:rPr>
          <w:rFonts w:hint="eastAsia"/>
        </w:rPr>
        <w:t xml:space="preserve">USD；总负债</w:t>
      </w:r>
      <w:r>
        <w:t xml:space="preserve"> 84.3 bn </w:t>
      </w:r>
      <w:r>
        <w:rPr>
          <w:rFonts w:hint="eastAsia"/>
        </w:rPr>
        <w:t xml:space="preserve">USD；净现金</w:t>
      </w:r>
      <w:r>
        <w:t xml:space="preserve"> -21.9 bn USD。TTM FCF 136.7 bn </w:t>
      </w:r>
      <w:r>
        <w:rPr>
          <w:rFonts w:hint="eastAsia"/>
        </w:rPr>
        <w:t xml:space="preserve">USD（FCF率</w:t>
      </w:r>
      <w:r>
        <w:t xml:space="preserve"> </w:t>
      </w:r>
      <w:r>
        <w:rPr>
          <w:rFonts w:hint="eastAsia"/>
        </w:rPr>
        <w:t xml:space="preserve">29.3%）。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1.97842（27位分析师）；收入一致预期</w:t>
      </w:r>
      <w:r>
        <w:t xml:space="preserve"> 113.6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$129.77</w:t>
            </w:r>
          </w:p>
        </w:tc>
        <w:tc>
          <w:tcPr/>
          <w:p>
            <w:pPr>
              <w:pStyle w:val="Compact"/>
            </w:pPr>
            <w:r>
              <w:t xml:space="preserve">-61.9%</w:t>
            </w:r>
          </w:p>
        </w:tc>
      </w:tr>
      <w:tr>
        <w:tc>
          <w:tcPr/>
          <w:p>
            <w:pPr>
              <w:pStyle w:val="Compact"/>
            </w:pPr>
            <w:r>
              <w:t xml:space="preserve">2Q</w:t>
            </w:r>
          </w:p>
        </w:tc>
        <w:tc>
          <w:tcPr/>
          <w:p>
            <w:pPr>
              <w:pStyle w:val="Compact"/>
            </w:pPr>
            <w:r>
              <w:t xml:space="preserve">Base</w:t>
            </w:r>
          </w:p>
        </w:tc>
        <w:tc>
          <w:tcPr/>
          <w:p>
            <w:pPr>
              <w:pStyle w:val="Compact"/>
            </w:pPr>
            <w:r>
              <w:t xml:space="preserve">$248.73</w:t>
            </w:r>
          </w:p>
        </w:tc>
        <w:tc>
          <w:tcPr/>
          <w:p>
            <w:pPr>
              <w:pStyle w:val="Compact"/>
            </w:pPr>
            <w:r>
              <w:t xml:space="preserve">-27.1%</w:t>
            </w:r>
          </w:p>
        </w:tc>
      </w:tr>
      <w:tr>
        <w:tc>
          <w:tcPr/>
          <w:p>
            <w:pPr>
              <w:pStyle w:val="Compact"/>
            </w:pPr>
            <w:r>
              <w:t xml:space="preserve">2Q</w:t>
            </w:r>
          </w:p>
        </w:tc>
        <w:tc>
          <w:tcPr/>
          <w:p>
            <w:pPr>
              <w:pStyle w:val="Compact"/>
            </w:pPr>
            <w:r>
              <w:t xml:space="preserve">Bull</w:t>
            </w:r>
          </w:p>
        </w:tc>
        <w:tc>
          <w:tcPr/>
          <w:p>
            <w:pPr>
              <w:pStyle w:val="Compact"/>
            </w:pPr>
            <w:r>
              <w:t xml:space="preserve">$379.92</w:t>
            </w:r>
          </w:p>
        </w:tc>
        <w:tc>
          <w:tcPr/>
          <w:p>
            <w:pPr>
              <w:pStyle w:val="Compact"/>
            </w:pPr>
            <w:r>
              <w:t xml:space="preserve">11.4%</w:t>
            </w:r>
          </w:p>
        </w:tc>
      </w:tr>
      <w:tr>
        <w:tc>
          <w:tcPr/>
          <w:p>
            <w:pPr>
              <w:pStyle w:val="Compact"/>
            </w:pPr>
            <w:r>
              <w:t xml:space="preserve">4Q</w:t>
            </w:r>
          </w:p>
        </w:tc>
        <w:tc>
          <w:tcPr/>
          <w:p>
            <w:pPr>
              <w:pStyle w:val="Compact"/>
            </w:pPr>
            <w:r>
              <w:t xml:space="preserve">Bear</w:t>
            </w:r>
          </w:p>
        </w:tc>
        <w:tc>
          <w:tcPr/>
          <w:p>
            <w:pPr>
              <w:pStyle w:val="Compact"/>
            </w:pPr>
            <w:r>
              <w:t xml:space="preserve">$122.05</w:t>
            </w:r>
          </w:p>
        </w:tc>
        <w:tc>
          <w:tcPr/>
          <w:p>
            <w:pPr>
              <w:pStyle w:val="Compact"/>
            </w:pPr>
            <w:r>
              <w:t xml:space="preserve">-64.2%</w:t>
            </w:r>
          </w:p>
        </w:tc>
      </w:tr>
      <w:tr>
        <w:tc>
          <w:tcPr/>
          <w:p>
            <w:pPr>
              <w:pStyle w:val="Compact"/>
            </w:pPr>
            <w:r>
              <w:t xml:space="preserve">4Q</w:t>
            </w:r>
          </w:p>
        </w:tc>
        <w:tc>
          <w:tcPr/>
          <w:p>
            <w:pPr>
              <w:pStyle w:val="Compact"/>
            </w:pPr>
            <w:r>
              <w:t xml:space="preserve">Base</w:t>
            </w:r>
          </w:p>
        </w:tc>
        <w:tc>
          <w:tcPr/>
          <w:p>
            <w:pPr>
              <w:pStyle w:val="Compact"/>
            </w:pPr>
            <w:r>
              <w:t xml:space="preserve">$245.90</w:t>
            </w:r>
          </w:p>
        </w:tc>
        <w:tc>
          <w:tcPr/>
          <w:p>
            <w:pPr>
              <w:pStyle w:val="Compact"/>
            </w:pPr>
            <w:r>
              <w:t xml:space="preserve">-27.9%</w:t>
            </w:r>
          </w:p>
        </w:tc>
      </w:tr>
      <w:tr>
        <w:tc>
          <w:tcPr/>
          <w:p>
            <w:pPr>
              <w:pStyle w:val="Compact"/>
            </w:pPr>
            <w:r>
              <w:t xml:space="preserve">4Q</w:t>
            </w:r>
          </w:p>
        </w:tc>
        <w:tc>
          <w:tcPr/>
          <w:p>
            <w:pPr>
              <w:pStyle w:val="Compact"/>
            </w:pPr>
            <w:r>
              <w:t xml:space="preserve">Bull</w:t>
            </w:r>
          </w:p>
        </w:tc>
        <w:tc>
          <w:tcPr/>
          <w:p>
            <w:pPr>
              <w:pStyle w:val="Compact"/>
            </w:pPr>
            <w:r>
              <w:t xml:space="preserve">$387.10</w:t>
            </w:r>
          </w:p>
        </w:tc>
        <w:tc>
          <w:tcPr/>
          <w:p>
            <w:pPr>
              <w:pStyle w:val="Compact"/>
            </w:pPr>
            <w:r>
              <w:t xml:space="preserve">13.5%</w:t>
            </w:r>
          </w:p>
        </w:tc>
      </w:tr>
      <w:tr>
        <w:tc>
          <w:tcPr/>
          <w:p>
            <w:pPr>
              <w:pStyle w:val="Compact"/>
            </w:pPr>
            <w:r>
              <w:t xml:space="preserve">6Q</w:t>
            </w:r>
          </w:p>
        </w:tc>
        <w:tc>
          <w:tcPr/>
          <w:p>
            <w:pPr>
              <w:pStyle w:val="Compact"/>
            </w:pPr>
            <w:r>
              <w:t xml:space="preserve">Bear</w:t>
            </w:r>
          </w:p>
        </w:tc>
        <w:tc>
          <w:tcPr/>
          <w:p>
            <w:pPr>
              <w:pStyle w:val="Compact"/>
            </w:pPr>
            <w:r>
              <w:t xml:space="preserve">$114.67</w:t>
            </w:r>
          </w:p>
        </w:tc>
        <w:tc>
          <w:tcPr/>
          <w:p>
            <w:pPr>
              <w:pStyle w:val="Compact"/>
            </w:pPr>
            <w:r>
              <w:t xml:space="preserve">-66.4%</w:t>
            </w:r>
          </w:p>
        </w:tc>
      </w:tr>
      <w:tr>
        <w:tc>
          <w:tcPr/>
          <w:p>
            <w:pPr>
              <w:pStyle w:val="Compact"/>
            </w:pPr>
            <w:r>
              <w:t xml:space="preserve">6Q</w:t>
            </w:r>
          </w:p>
        </w:tc>
        <w:tc>
          <w:tcPr/>
          <w:p>
            <w:pPr>
              <w:pStyle w:val="Compact"/>
            </w:pPr>
            <w:r>
              <w:t xml:space="preserve">Base</w:t>
            </w:r>
          </w:p>
        </w:tc>
        <w:tc>
          <w:tcPr/>
          <w:p>
            <w:pPr>
              <w:pStyle w:val="Compact"/>
            </w:pPr>
            <w:r>
              <w:t xml:space="preserve">$243.06</w:t>
            </w:r>
          </w:p>
        </w:tc>
        <w:tc>
          <w:tcPr/>
          <w:p>
            <w:pPr>
              <w:pStyle w:val="Compact"/>
            </w:pPr>
            <w:r>
              <w:t xml:space="preserve">-28.7%</w:t>
            </w:r>
          </w:p>
        </w:tc>
      </w:tr>
      <w:tr>
        <w:tc>
          <w:tcPr/>
          <w:p>
            <w:pPr>
              <w:pStyle w:val="Compact"/>
            </w:pPr>
            <w:r>
              <w:t xml:space="preserve">6Q</w:t>
            </w:r>
          </w:p>
        </w:tc>
        <w:tc>
          <w:tcPr/>
          <w:p>
            <w:pPr>
              <w:pStyle w:val="Compact"/>
            </w:pPr>
            <w:r>
              <w:t xml:space="preserve">Bull</w:t>
            </w:r>
          </w:p>
        </w:tc>
        <w:tc>
          <w:tcPr/>
          <w:p>
            <w:pPr>
              <w:pStyle w:val="Compact"/>
            </w:pPr>
            <w:r>
              <w:t xml:space="preserve">$394.41</w:t>
            </w:r>
          </w:p>
        </w:tc>
        <w:tc>
          <w:tcPr/>
          <w:p>
            <w:pPr>
              <w:pStyle w:val="Compact"/>
            </w:pPr>
            <w:r>
              <w:t xml:space="preserve">15.7%</w:t>
            </w:r>
          </w:p>
        </w:tc>
      </w:tr>
      <w:tr>
        <w:tc>
          <w:tcPr/>
          <w:p>
            <w:pPr>
              <w:pStyle w:val="Compact"/>
            </w:pPr>
            <w:r>
              <w:t xml:space="preserve">8Q</w:t>
            </w:r>
          </w:p>
        </w:tc>
        <w:tc>
          <w:tcPr/>
          <w:p>
            <w:pPr>
              <w:pStyle w:val="Compact"/>
            </w:pPr>
            <w:r>
              <w:t xml:space="preserve">Bear</w:t>
            </w:r>
          </w:p>
        </w:tc>
        <w:tc>
          <w:tcPr/>
          <w:p>
            <w:pPr>
              <w:pStyle w:val="Compact"/>
            </w:pPr>
            <w:r>
              <w:t xml:space="preserve">$107.61</w:t>
            </w:r>
          </w:p>
        </w:tc>
        <w:tc>
          <w:tcPr/>
          <w:p>
            <w:pPr>
              <w:pStyle w:val="Compact"/>
            </w:pPr>
            <w:r>
              <w:t xml:space="preserve">-68.4%</w:t>
            </w:r>
          </w:p>
        </w:tc>
      </w:tr>
      <w:tr>
        <w:tc>
          <w:tcPr/>
          <w:p>
            <w:pPr>
              <w:pStyle w:val="Compact"/>
            </w:pPr>
            <w:r>
              <w:t xml:space="preserve">8Q</w:t>
            </w:r>
          </w:p>
        </w:tc>
        <w:tc>
          <w:tcPr/>
          <w:p>
            <w:pPr>
              <w:pStyle w:val="Compact"/>
            </w:pPr>
            <w:r>
              <w:t xml:space="preserve">Base</w:t>
            </w:r>
          </w:p>
        </w:tc>
        <w:tc>
          <w:tcPr/>
          <w:p>
            <w:pPr>
              <w:pStyle w:val="Compact"/>
            </w:pPr>
            <w:r>
              <w:t xml:space="preserve">$240.22</w:t>
            </w:r>
          </w:p>
        </w:tc>
        <w:tc>
          <w:tcPr/>
          <w:p>
            <w:pPr>
              <w:pStyle w:val="Compact"/>
            </w:pPr>
            <w:r>
              <w:t xml:space="preserve">-29.5%</w:t>
            </w:r>
          </w:p>
        </w:tc>
      </w:tr>
      <w:tr>
        <w:tc>
          <w:tcPr/>
          <w:p>
            <w:pPr>
              <w:pStyle w:val="Compact"/>
            </w:pPr>
            <w:r>
              <w:t xml:space="preserve">8Q</w:t>
            </w:r>
          </w:p>
        </w:tc>
        <w:tc>
          <w:tcPr/>
          <w:p>
            <w:pPr>
              <w:pStyle w:val="Compact"/>
            </w:pPr>
            <w:r>
              <w:t xml:space="preserve">Bull</w:t>
            </w:r>
          </w:p>
        </w:tc>
        <w:tc>
          <w:tcPr/>
          <w:p>
            <w:pPr>
              <w:pStyle w:val="Compact"/>
            </w:pPr>
            <w:r>
              <w:t xml:space="preserve">$401.84</w:t>
            </w:r>
          </w:p>
        </w:tc>
        <w:tc>
          <w:tcPr/>
          <w:p>
            <w:pPr>
              <w:pStyle w:val="Compact"/>
            </w:pPr>
            <w:r>
              <w:t xml:space="preserve">17.9%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32.5x</w:t>
            </w:r>
          </w:p>
        </w:tc>
      </w:tr>
      <w:tr>
        <w:tc>
          <w:tcPr/>
          <w:p>
            <w:pPr>
              <w:pStyle w:val="Compact"/>
            </w:pPr>
            <w:r>
              <w:t xml:space="preserve">4Q</w:t>
            </w:r>
          </w:p>
        </w:tc>
        <w:tc>
          <w:tcPr/>
          <w:p>
            <w:pPr>
              <w:pStyle w:val="Compact"/>
            </w:pPr>
            <w:r>
              <w:t xml:space="preserve">31.3x</w:t>
            </w:r>
          </w:p>
        </w:tc>
      </w:tr>
      <w:tr>
        <w:tc>
          <w:tcPr/>
          <w:p>
            <w:pPr>
              <w:pStyle w:val="Compact"/>
            </w:pPr>
            <w:r>
              <w:t xml:space="preserve">6Q</w:t>
            </w:r>
          </w:p>
        </w:tc>
        <w:tc>
          <w:tcPr/>
          <w:p>
            <w:pPr>
              <w:pStyle w:val="Compact"/>
            </w:pPr>
            <w:r>
              <w:t xml:space="preserve">30.1x</w:t>
            </w:r>
          </w:p>
        </w:tc>
      </w:tr>
      <w:tr>
        <w:tc>
          <w:tcPr/>
          <w:p>
            <w:pPr>
              <w:pStyle w:val="Compact"/>
            </w:pPr>
            <w:r>
              <w:t xml:space="preserve">8Q</w:t>
            </w:r>
          </w:p>
        </w:tc>
        <w:tc>
          <w:tcPr/>
          <w:p>
            <w:pPr>
              <w:pStyle w:val="Compact"/>
            </w:pPr>
            <w:r>
              <w:t xml:space="preserve">29.0x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$87.26</w:t>
            </w:r>
          </w:p>
        </w:tc>
        <w:tc>
          <w:tcPr/>
          <w:p>
            <w:pPr>
              <w:pStyle w:val="Compact"/>
            </w:pPr>
            <w:r>
              <w:t xml:space="preserve">-74.4%</w:t>
            </w:r>
          </w:p>
        </w:tc>
      </w:tr>
      <w:tr>
        <w:tc>
          <w:tcPr/>
          <w:p>
            <w:pPr>
              <w:pStyle w:val="Compact"/>
            </w:pPr>
            <w:r>
              <w:t xml:space="preserve">Base</w:t>
            </w:r>
          </w:p>
        </w:tc>
        <w:tc>
          <w:tcPr/>
          <w:p>
            <w:pPr>
              <w:pStyle w:val="Compact"/>
            </w:pPr>
            <w:r>
              <w:t xml:space="preserve">10.6%</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$153.94</w:t>
            </w:r>
          </w:p>
        </w:tc>
        <w:tc>
          <w:tcPr/>
          <w:p>
            <w:pPr>
              <w:pStyle w:val="Compact"/>
            </w:pPr>
            <w:r>
              <w:t xml:space="preserve">-54.9%</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$226.42</w:t>
            </w:r>
          </w:p>
        </w:tc>
        <w:tc>
          <w:tcPr/>
          <w:p>
            <w:pPr>
              <w:pStyle w:val="Compact"/>
            </w:pPr>
            <w:r>
              <w:t xml:space="preserve">-33.6%</w:t>
            </w:r>
          </w:p>
        </w:tc>
      </w:tr>
    </w:tbl>
    <w:p>
      <w:pPr>
        <w:pStyle w:val="BodyText"/>
      </w:pPr>
      <w:r>
        <w:rPr>
          <w:rFonts w:hint="eastAsia"/>
        </w:rPr>
        <w:t xml:space="preserve">概率加权价值</w:t>
      </w:r>
      <w:r>
        <w:t xml:space="preserve"> </w:t>
      </w:r>
      <w:r>
        <w:rPr>
          <w:b/>
          <w:bCs/>
        </w:rPr>
        <w:t xml:space="preserve">$155.39</w:t>
      </w:r>
      <w:r>
        <w:rPr>
          <w:rFonts w:hint="eastAsia"/>
        </w:rPr>
        <w:t xml:space="preserve">（相对现价</w:t>
      </w:r>
      <w:r>
        <w:t xml:space="preserve"> </w:t>
      </w:r>
      <w:r>
        <w:rPr>
          <w:rFonts w:hint="eastAsia"/>
        </w:rPr>
        <w:t xml:space="preserve">-54.4%）。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2,268.6 bn </w:t>
      </w:r>
      <w:r>
        <w:rPr>
          <w:rFonts w:hint="eastAsia"/>
        </w:rPr>
        <w:t xml:space="preserve">USD；终值占比</w:t>
      </w:r>
      <w:r>
        <w:t xml:space="preserve"> 51.3%。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31.4%</w:t>
      </w:r>
      <w:r>
        <w:rPr>
          <w:rFonts w:hint="eastAsia"/>
        </w:rPr>
        <w:t xml:space="preserve">；一致预期FY+1增速</w:t>
      </w:r>
      <w:r>
        <w:t xml:space="preserve"> 10.6%。</w:t>
      </w:r>
    </w:p>
    <w:p>
      <w:pPr>
        <w:numPr>
          <w:ilvl w:val="0"/>
          <w:numId w:val="1005"/>
        </w:numPr>
      </w:pPr>
      <w:r>
        <w:t xml:space="preserve">WACC (CAPM) = rf 5.2% + β 1.07 × ERP 5.0% = 10.6%。</w:t>
      </w:r>
    </w:p>
    <w:p>
      <w:pPr>
        <w:numPr>
          <w:ilvl w:val="0"/>
          <w:numId w:val="1005"/>
        </w:numPr>
      </w:pPr>
      <w:r>
        <w:t xml:space="preserve">SOTP segments </w:t>
      </w:r>
      <w:r>
        <w:rPr>
          <w:rFonts w:hint="eastAsia"/>
        </w:rPr>
        <w:t xml:space="preserve">分部:</w:t>
      </w:r>
      <w:r>
        <w:t xml:space="preserve"> iPhone; Services </w:t>
      </w:r>
      <w:r>
        <w:rPr>
          <w:rFonts w:hint="eastAsia"/>
        </w:rPr>
        <w:t xml:space="preserve">服务;</w:t>
      </w:r>
      <w:r>
        <w:t xml:space="preserve"> Mac; iPad; Wearables/Home </w:t>
      </w:r>
      <w:r>
        <w:rPr>
          <w:rFonts w:hint="eastAsia"/>
        </w:rPr>
        <w:t xml:space="preserve">可穿戴.</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AAPL | 4,976.2 bn USD | 10.7x | 35.6x | 16.4% | 48.7% | 2.7% |</w:t>
      </w:r>
      <w:r>
        <w:t xml:space="preserve"> </w:t>
      </w:r>
      <w:r>
        <w:t xml:space="preserve">| MSFT | 4,018.3 bn USD | 12.3x | 22.9x | 17.7% | 67.9% | 0.4% |</w:t>
      </w:r>
      <w:r>
        <w:t xml:space="preserve"> </w:t>
      </w:r>
      <w:r>
        <w:t xml:space="preserve">| GOOGL | 4,313.7 bn USD | 9.4x | 23.2x | 24.2% | 60.9% | 0.5% |</w:t>
      </w:r>
      <w:r>
        <w:t xml:space="preserve"> </w:t>
      </w:r>
      <w:r>
        <w:t xml:space="preserve">| 005930.KS | 1,523,442.8 bn USD | 3.1x | 3.2x | 130.0% | 57.5% | 4.6%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Memory cost squeezes GM; Google TAC payment ruling; China share </w:t>
      </w:r>
      <w:r>
        <w:rPr>
          <w:rFonts w:hint="eastAsia"/>
        </w:rPr>
        <w:t xml:space="preserve">loss｜存储成本压毛利；谷歌分成裁决；中国份额流失</w:t>
      </w:r>
    </w:p>
    <w:p>
      <w:pPr>
        <w:pStyle w:val="Compact"/>
        <w:numPr>
          <w:ilvl w:val="0"/>
          <w:numId w:val="1006"/>
        </w:numPr>
      </w:pPr>
      <w:r>
        <w:rPr>
          <w:rFonts w:hint="eastAsia"/>
        </w:rPr>
        <w:t xml:space="preserve">证伪指标:</w:t>
      </w:r>
      <w:r>
        <w:t xml:space="preserve"> iPhone units decline y/y in upgrade cycle; services growth &lt;10%; GM guide </w:t>
      </w:r>
      <w:r>
        <w:rPr>
          <w:rFonts w:hint="eastAsia"/>
        </w:rPr>
        <w:t xml:space="preserve">down｜换机年iPhone仍同比下滑；服务增速&lt;10%；毛利指引下调</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341</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4.976e+12</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6.24e+10</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8.434e+10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4.668e+11</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1.367e+11</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1.069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0.1482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0.1056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1.07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0.1056</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0.2928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AAPL_model_v20261013-1622.xlsx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AP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AP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AP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AP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AP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457b84454ebf02f0a0330b4d251e302deeffa8"/>
    <w:p>
      <w:pPr>
        <w:pStyle w:val="Heading1"/>
      </w:pPr>
      <w:r>
        <w:t xml:space="preserve">AAPL Apple Inc. — Equity Deep Dive (Professional English) v20261013-1622</w:t>
      </w:r>
    </w:p>
    <w:p>
      <w:pPr>
        <w:pStyle w:val="BlockText"/>
      </w:pPr>
      <w:r>
        <w:t xml:space="preserve">Data as of 2026-10-13 16:22 SGT | Price $340.97 | Mkt cap 4,976.2 bn USD | Reporting currency USD | Not investment advice.</w:t>
      </w:r>
    </w:p>
    <w:bookmarkStart w:id="39" w:name="investment-thesis-hypothesis"/>
    <w:p>
      <w:pPr>
        <w:pStyle w:val="Heading2"/>
      </w:pPr>
      <w:r>
        <w:t xml:space="preserve">1. Investment thesis (HYPOTHESIS)</w:t>
      </w:r>
    </w:p>
    <w:p>
      <w:pPr>
        <w:pStyle w:val="FirstParagraph"/>
      </w:pPr>
      <w:r>
        <w:t xml:space="preserve">Apple is a high-quality cash-flow and buyback compounder; an AI-driven upgrade cycle is the main upside variable, while memory-cost inflation and services regulation are the main pressures.</w:t>
      </w:r>
    </w:p>
    <w:p>
      <w:pPr>
        <w:pStyle w:val="Compact"/>
        <w:numPr>
          <w:ilvl w:val="0"/>
          <w:numId w:val="1009"/>
        </w:numPr>
      </w:pPr>
      <w:r>
        <w:rPr>
          <w:b/>
          <w:bCs/>
        </w:rPr>
        <w:t xml:space="preserve">Bull drivers</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9"/>
        </w:numPr>
      </w:pPr>
      <w:r>
        <w:rPr>
          <w:b/>
          <w:bCs/>
        </w:rPr>
        <w:t xml:space="preserve">Bear drivers</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9"/>
        </w:numPr>
      </w:pPr>
      <w:r>
        <w:rPr>
          <w:b/>
          <w:bCs/>
        </w:rPr>
        <w:t xml:space="preserve">Falsifiers</w:t>
      </w:r>
      <w:r>
        <w:t xml:space="preserve">: iPhone units decline y/y in upgrade cycle; services growth &lt;10%; GM guide </w:t>
      </w:r>
      <w:r>
        <w:rPr>
          <w:rFonts w:hint="eastAsia"/>
        </w:rPr>
        <w:t xml:space="preserve">down｜换机年iPhone仍同比下滑；服务增速&lt;10%；毛利指引下调</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Consumer hardware + services ecosystem </w:t>
      </w:r>
      <w:r>
        <w:rPr>
          <w:rFonts w:hint="eastAsia"/>
        </w:rPr>
        <w:t xml:space="preserve">消费电子+服务生态</w:t>
      </w:r>
      <w:r>
        <w:t xml:space="preserve"> | Segments: iPhone; Services </w:t>
      </w:r>
      <w:r>
        <w:rPr>
          <w:rFonts w:hint="eastAsia"/>
        </w:rPr>
        <w:t xml:space="preserve">服务;</w:t>
      </w:r>
      <w:r>
        <w:t xml:space="preserve"> Mac; iPad; Wearables/Home </w:t>
      </w:r>
      <w:r>
        <w:rPr>
          <w:rFonts w:hint="eastAsia"/>
        </w:rPr>
        <w:t xml:space="preserve">可穿戴</w:t>
      </w:r>
    </w:p>
    <w:p>
      <w:pPr>
        <w:pStyle w:val="Compact"/>
        <w:numPr>
          <w:ilvl w:val="0"/>
          <w:numId w:val="1010"/>
        </w:numPr>
      </w:pPr>
      <w:r>
        <w:t xml:space="preserve">Business description (DATA):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10"/>
        </w:numPr>
      </w:pPr>
      <w:r>
        <w:t xml:space="preserve">Customers: Global consumers; carriers; </w:t>
      </w:r>
      <w:r>
        <w:rPr>
          <w:rFonts w:hint="eastAsia"/>
        </w:rPr>
        <w:t xml:space="preserve">enterprises｜全球消费者、运营商、企业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(A/M chips), Foxconn/Luxshare (assembly), Samsung/LG/BOE (displays), Micron/Kioxia (memory), Corning </w:t>
      </w:r>
      <w:r>
        <w:rPr>
          <w:rFonts w:hint="eastAsia"/>
        </w:rPr>
        <w:t xml:space="preserve">(glass)｜台积电、富士康/立讯、面板厂、存储厂、康宁</w:t>
      </w:r>
    </w:p>
    <w:p>
      <w:pPr>
        <w:pStyle w:val="Compact"/>
        <w:numPr>
          <w:ilvl w:val="0"/>
          <w:numId w:val="1011"/>
        </w:numPr>
      </w:pPr>
      <w:r>
        <w:t xml:space="preserve">Competitors: Samsung, Chinese Android OEMs (Huawei, Xiaomi), </w:t>
      </w:r>
      <w:r>
        <w:rPr>
          <w:rFonts w:hint="eastAsia"/>
        </w:rPr>
        <w:t xml:space="preserve">Google｜三星、华为/小米、谷歌</w:t>
      </w:r>
    </w:p>
    <w:p>
      <w:pPr>
        <w:pStyle w:val="Compact"/>
        <w:numPr>
          <w:ilvl w:val="0"/>
          <w:numId w:val="1011"/>
        </w:numPr>
      </w:pPr>
      <w:r>
        <w:t xml:space="preserve">Bottlenecks/regulation: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11"/>
        </w:numPr>
      </w:pPr>
      <w:r>
        <w:t xml:space="preserve">KPIs: iPhone revenue, Services growth, GM%, buybacks, China </w:t>
      </w:r>
      <w:r>
        <w:rPr>
          <w:rFonts w:hint="eastAsia"/>
        </w:rPr>
        <w:t xml:space="preserve">revenue｜iPhone收入、服务增速、毛利率、回购、大中华区收入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t xml:space="preserve">Cash 62.4 bn USD; debt 84.3 bn USD; TTM FCF 136.7 bn USD (FCF margin 29.3%).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1.97842 (27 analysts); revenue consensus 113.6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$129.77</w:t>
            </w:r>
          </w:p>
        </w:tc>
        <w:tc>
          <w:tcPr/>
          <w:p>
            <w:pPr>
              <w:pStyle w:val="Compact"/>
            </w:pPr>
            <w:r>
              <w:t xml:space="preserve">-61.9%</w:t>
            </w:r>
          </w:p>
        </w:tc>
      </w:tr>
      <w:tr>
        <w:tc>
          <w:tcPr/>
          <w:p>
            <w:pPr>
              <w:pStyle w:val="Compact"/>
            </w:pPr>
            <w:r>
              <w:t xml:space="preserve">2Q</w:t>
            </w:r>
          </w:p>
        </w:tc>
        <w:tc>
          <w:tcPr/>
          <w:p>
            <w:pPr>
              <w:pStyle w:val="Compact"/>
            </w:pPr>
            <w:r>
              <w:t xml:space="preserve">Base</w:t>
            </w:r>
          </w:p>
        </w:tc>
        <w:tc>
          <w:tcPr/>
          <w:p>
            <w:pPr>
              <w:pStyle w:val="Compact"/>
            </w:pPr>
            <w:r>
              <w:t xml:space="preserve">$248.73</w:t>
            </w:r>
          </w:p>
        </w:tc>
        <w:tc>
          <w:tcPr/>
          <w:p>
            <w:pPr>
              <w:pStyle w:val="Compact"/>
            </w:pPr>
            <w:r>
              <w:t xml:space="preserve">-27.1%</w:t>
            </w:r>
          </w:p>
        </w:tc>
      </w:tr>
      <w:tr>
        <w:tc>
          <w:tcPr/>
          <w:p>
            <w:pPr>
              <w:pStyle w:val="Compact"/>
            </w:pPr>
            <w:r>
              <w:t xml:space="preserve">2Q</w:t>
            </w:r>
          </w:p>
        </w:tc>
        <w:tc>
          <w:tcPr/>
          <w:p>
            <w:pPr>
              <w:pStyle w:val="Compact"/>
            </w:pPr>
            <w:r>
              <w:t xml:space="preserve">Bull</w:t>
            </w:r>
          </w:p>
        </w:tc>
        <w:tc>
          <w:tcPr/>
          <w:p>
            <w:pPr>
              <w:pStyle w:val="Compact"/>
            </w:pPr>
            <w:r>
              <w:t xml:space="preserve">$379.92</w:t>
            </w:r>
          </w:p>
        </w:tc>
        <w:tc>
          <w:tcPr/>
          <w:p>
            <w:pPr>
              <w:pStyle w:val="Compact"/>
            </w:pPr>
            <w:r>
              <w:t xml:space="preserve">11.4%</w:t>
            </w:r>
          </w:p>
        </w:tc>
      </w:tr>
      <w:tr>
        <w:tc>
          <w:tcPr/>
          <w:p>
            <w:pPr>
              <w:pStyle w:val="Compact"/>
            </w:pPr>
            <w:r>
              <w:t xml:space="preserve">4Q</w:t>
            </w:r>
          </w:p>
        </w:tc>
        <w:tc>
          <w:tcPr/>
          <w:p>
            <w:pPr>
              <w:pStyle w:val="Compact"/>
            </w:pPr>
            <w:r>
              <w:t xml:space="preserve">Bear</w:t>
            </w:r>
          </w:p>
        </w:tc>
        <w:tc>
          <w:tcPr/>
          <w:p>
            <w:pPr>
              <w:pStyle w:val="Compact"/>
            </w:pPr>
            <w:r>
              <w:t xml:space="preserve">$122.05</w:t>
            </w:r>
          </w:p>
        </w:tc>
        <w:tc>
          <w:tcPr/>
          <w:p>
            <w:pPr>
              <w:pStyle w:val="Compact"/>
            </w:pPr>
            <w:r>
              <w:t xml:space="preserve">-64.2%</w:t>
            </w:r>
          </w:p>
        </w:tc>
      </w:tr>
      <w:tr>
        <w:tc>
          <w:tcPr/>
          <w:p>
            <w:pPr>
              <w:pStyle w:val="Compact"/>
            </w:pPr>
            <w:r>
              <w:t xml:space="preserve">4Q</w:t>
            </w:r>
          </w:p>
        </w:tc>
        <w:tc>
          <w:tcPr/>
          <w:p>
            <w:pPr>
              <w:pStyle w:val="Compact"/>
            </w:pPr>
            <w:r>
              <w:t xml:space="preserve">Base</w:t>
            </w:r>
          </w:p>
        </w:tc>
        <w:tc>
          <w:tcPr/>
          <w:p>
            <w:pPr>
              <w:pStyle w:val="Compact"/>
            </w:pPr>
            <w:r>
              <w:t xml:space="preserve">$245.90</w:t>
            </w:r>
          </w:p>
        </w:tc>
        <w:tc>
          <w:tcPr/>
          <w:p>
            <w:pPr>
              <w:pStyle w:val="Compact"/>
            </w:pPr>
            <w:r>
              <w:t xml:space="preserve">-27.9%</w:t>
            </w:r>
          </w:p>
        </w:tc>
      </w:tr>
      <w:tr>
        <w:tc>
          <w:tcPr/>
          <w:p>
            <w:pPr>
              <w:pStyle w:val="Compact"/>
            </w:pPr>
            <w:r>
              <w:t xml:space="preserve">4Q</w:t>
            </w:r>
          </w:p>
        </w:tc>
        <w:tc>
          <w:tcPr/>
          <w:p>
            <w:pPr>
              <w:pStyle w:val="Compact"/>
            </w:pPr>
            <w:r>
              <w:t xml:space="preserve">Bull</w:t>
            </w:r>
          </w:p>
        </w:tc>
        <w:tc>
          <w:tcPr/>
          <w:p>
            <w:pPr>
              <w:pStyle w:val="Compact"/>
            </w:pPr>
            <w:r>
              <w:t xml:space="preserve">$387.10</w:t>
            </w:r>
          </w:p>
        </w:tc>
        <w:tc>
          <w:tcPr/>
          <w:p>
            <w:pPr>
              <w:pStyle w:val="Compact"/>
            </w:pPr>
            <w:r>
              <w:t xml:space="preserve">13.5%</w:t>
            </w:r>
          </w:p>
        </w:tc>
      </w:tr>
      <w:tr>
        <w:tc>
          <w:tcPr/>
          <w:p>
            <w:pPr>
              <w:pStyle w:val="Compact"/>
            </w:pPr>
            <w:r>
              <w:t xml:space="preserve">6Q</w:t>
            </w:r>
          </w:p>
        </w:tc>
        <w:tc>
          <w:tcPr/>
          <w:p>
            <w:pPr>
              <w:pStyle w:val="Compact"/>
            </w:pPr>
            <w:r>
              <w:t xml:space="preserve">Bear</w:t>
            </w:r>
          </w:p>
        </w:tc>
        <w:tc>
          <w:tcPr/>
          <w:p>
            <w:pPr>
              <w:pStyle w:val="Compact"/>
            </w:pPr>
            <w:r>
              <w:t xml:space="preserve">$114.67</w:t>
            </w:r>
          </w:p>
        </w:tc>
        <w:tc>
          <w:tcPr/>
          <w:p>
            <w:pPr>
              <w:pStyle w:val="Compact"/>
            </w:pPr>
            <w:r>
              <w:t xml:space="preserve">-66.4%</w:t>
            </w:r>
          </w:p>
        </w:tc>
      </w:tr>
      <w:tr>
        <w:tc>
          <w:tcPr/>
          <w:p>
            <w:pPr>
              <w:pStyle w:val="Compact"/>
            </w:pPr>
            <w:r>
              <w:t xml:space="preserve">6Q</w:t>
            </w:r>
          </w:p>
        </w:tc>
        <w:tc>
          <w:tcPr/>
          <w:p>
            <w:pPr>
              <w:pStyle w:val="Compact"/>
            </w:pPr>
            <w:r>
              <w:t xml:space="preserve">Base</w:t>
            </w:r>
          </w:p>
        </w:tc>
        <w:tc>
          <w:tcPr/>
          <w:p>
            <w:pPr>
              <w:pStyle w:val="Compact"/>
            </w:pPr>
            <w:r>
              <w:t xml:space="preserve">$243.06</w:t>
            </w:r>
          </w:p>
        </w:tc>
        <w:tc>
          <w:tcPr/>
          <w:p>
            <w:pPr>
              <w:pStyle w:val="Compact"/>
            </w:pPr>
            <w:r>
              <w:t xml:space="preserve">-28.7%</w:t>
            </w:r>
          </w:p>
        </w:tc>
      </w:tr>
      <w:tr>
        <w:tc>
          <w:tcPr/>
          <w:p>
            <w:pPr>
              <w:pStyle w:val="Compact"/>
            </w:pPr>
            <w:r>
              <w:t xml:space="preserve">6Q</w:t>
            </w:r>
          </w:p>
        </w:tc>
        <w:tc>
          <w:tcPr/>
          <w:p>
            <w:pPr>
              <w:pStyle w:val="Compact"/>
            </w:pPr>
            <w:r>
              <w:t xml:space="preserve">Bull</w:t>
            </w:r>
          </w:p>
        </w:tc>
        <w:tc>
          <w:tcPr/>
          <w:p>
            <w:pPr>
              <w:pStyle w:val="Compact"/>
            </w:pPr>
            <w:r>
              <w:t xml:space="preserve">$394.41</w:t>
            </w:r>
          </w:p>
        </w:tc>
        <w:tc>
          <w:tcPr/>
          <w:p>
            <w:pPr>
              <w:pStyle w:val="Compact"/>
            </w:pPr>
            <w:r>
              <w:t xml:space="preserve">15.7%</w:t>
            </w:r>
          </w:p>
        </w:tc>
      </w:tr>
      <w:tr>
        <w:tc>
          <w:tcPr/>
          <w:p>
            <w:pPr>
              <w:pStyle w:val="Compact"/>
            </w:pPr>
            <w:r>
              <w:t xml:space="preserve">8Q</w:t>
            </w:r>
          </w:p>
        </w:tc>
        <w:tc>
          <w:tcPr/>
          <w:p>
            <w:pPr>
              <w:pStyle w:val="Compact"/>
            </w:pPr>
            <w:r>
              <w:t xml:space="preserve">Bear</w:t>
            </w:r>
          </w:p>
        </w:tc>
        <w:tc>
          <w:tcPr/>
          <w:p>
            <w:pPr>
              <w:pStyle w:val="Compact"/>
            </w:pPr>
            <w:r>
              <w:t xml:space="preserve">$107.61</w:t>
            </w:r>
          </w:p>
        </w:tc>
        <w:tc>
          <w:tcPr/>
          <w:p>
            <w:pPr>
              <w:pStyle w:val="Compact"/>
            </w:pPr>
            <w:r>
              <w:t xml:space="preserve">-68.4%</w:t>
            </w:r>
          </w:p>
        </w:tc>
      </w:tr>
      <w:tr>
        <w:tc>
          <w:tcPr/>
          <w:p>
            <w:pPr>
              <w:pStyle w:val="Compact"/>
            </w:pPr>
            <w:r>
              <w:t xml:space="preserve">8Q</w:t>
            </w:r>
          </w:p>
        </w:tc>
        <w:tc>
          <w:tcPr/>
          <w:p>
            <w:pPr>
              <w:pStyle w:val="Compact"/>
            </w:pPr>
            <w:r>
              <w:t xml:space="preserve">Base</w:t>
            </w:r>
          </w:p>
        </w:tc>
        <w:tc>
          <w:tcPr/>
          <w:p>
            <w:pPr>
              <w:pStyle w:val="Compact"/>
            </w:pPr>
            <w:r>
              <w:t xml:space="preserve">$240.22</w:t>
            </w:r>
          </w:p>
        </w:tc>
        <w:tc>
          <w:tcPr/>
          <w:p>
            <w:pPr>
              <w:pStyle w:val="Compact"/>
            </w:pPr>
            <w:r>
              <w:t xml:space="preserve">-29.5%</w:t>
            </w:r>
          </w:p>
        </w:tc>
      </w:tr>
      <w:tr>
        <w:tc>
          <w:tcPr/>
          <w:p>
            <w:pPr>
              <w:pStyle w:val="Compact"/>
            </w:pPr>
            <w:r>
              <w:t xml:space="preserve">8Q</w:t>
            </w:r>
          </w:p>
        </w:tc>
        <w:tc>
          <w:tcPr/>
          <w:p>
            <w:pPr>
              <w:pStyle w:val="Compact"/>
            </w:pPr>
            <w:r>
              <w:t xml:space="preserve">Bull</w:t>
            </w:r>
          </w:p>
        </w:tc>
        <w:tc>
          <w:tcPr/>
          <w:p>
            <w:pPr>
              <w:pStyle w:val="Compact"/>
            </w:pPr>
            <w:r>
              <w:t xml:space="preserve">$401.84</w:t>
            </w:r>
          </w:p>
        </w:tc>
        <w:tc>
          <w:tcPr/>
          <w:p>
            <w:pPr>
              <w:pStyle w:val="Compact"/>
            </w:pPr>
            <w:r>
              <w:t xml:space="preserve">17.9%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32.5x</w:t>
            </w:r>
          </w:p>
        </w:tc>
      </w:tr>
      <w:tr>
        <w:tc>
          <w:tcPr/>
          <w:p>
            <w:pPr>
              <w:pStyle w:val="Compact"/>
            </w:pPr>
            <w:r>
              <w:t xml:space="preserve">4Q</w:t>
            </w:r>
          </w:p>
        </w:tc>
        <w:tc>
          <w:tcPr/>
          <w:p>
            <w:pPr>
              <w:pStyle w:val="Compact"/>
            </w:pPr>
            <w:r>
              <w:t xml:space="preserve">31.3x</w:t>
            </w:r>
          </w:p>
        </w:tc>
      </w:tr>
      <w:tr>
        <w:tc>
          <w:tcPr/>
          <w:p>
            <w:pPr>
              <w:pStyle w:val="Compact"/>
            </w:pPr>
            <w:r>
              <w:t xml:space="preserve">6Q</w:t>
            </w:r>
          </w:p>
        </w:tc>
        <w:tc>
          <w:tcPr/>
          <w:p>
            <w:pPr>
              <w:pStyle w:val="Compact"/>
            </w:pPr>
            <w:r>
              <w:t xml:space="preserve">30.1x</w:t>
            </w:r>
          </w:p>
        </w:tc>
      </w:tr>
      <w:tr>
        <w:tc>
          <w:tcPr/>
          <w:p>
            <w:pPr>
              <w:pStyle w:val="Compact"/>
            </w:pPr>
            <w:r>
              <w:t xml:space="preserve">8Q</w:t>
            </w:r>
          </w:p>
        </w:tc>
        <w:tc>
          <w:tcPr/>
          <w:p>
            <w:pPr>
              <w:pStyle w:val="Compact"/>
            </w:pPr>
            <w:r>
              <w:t xml:space="preserve">29.0x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$87.26</w:t>
            </w:r>
          </w:p>
        </w:tc>
        <w:tc>
          <w:tcPr/>
          <w:p>
            <w:pPr>
              <w:pStyle w:val="Compact"/>
            </w:pPr>
            <w:r>
              <w:t xml:space="preserve">-74.4%</w:t>
            </w:r>
          </w:p>
        </w:tc>
      </w:tr>
      <w:tr>
        <w:tc>
          <w:tcPr/>
          <w:p>
            <w:pPr>
              <w:pStyle w:val="Compact"/>
            </w:pPr>
            <w:r>
              <w:t xml:space="preserve">Base</w:t>
            </w:r>
          </w:p>
        </w:tc>
        <w:tc>
          <w:tcPr/>
          <w:p>
            <w:pPr>
              <w:pStyle w:val="Compact"/>
            </w:pPr>
            <w:r>
              <w:t xml:space="preserve">10.6%</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$153.94</w:t>
            </w:r>
          </w:p>
        </w:tc>
        <w:tc>
          <w:tcPr/>
          <w:p>
            <w:pPr>
              <w:pStyle w:val="Compact"/>
            </w:pPr>
            <w:r>
              <w:t xml:space="preserve">-54.9%</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$226.42</w:t>
            </w:r>
          </w:p>
        </w:tc>
        <w:tc>
          <w:tcPr/>
          <w:p>
            <w:pPr>
              <w:pStyle w:val="Compact"/>
            </w:pPr>
            <w:r>
              <w:t xml:space="preserve">-33.6%</w:t>
            </w:r>
          </w:p>
        </w:tc>
      </w:tr>
    </w:tbl>
    <w:p>
      <w:pPr>
        <w:pStyle w:val="BodyText"/>
      </w:pPr>
      <w:r>
        <w:t xml:space="preserve">Probability-weighted value</w:t>
      </w:r>
      <w:r>
        <w:t xml:space="preserve"> </w:t>
      </w:r>
      <w:r>
        <w:rPr>
          <w:b/>
          <w:bCs/>
        </w:rPr>
        <w:t xml:space="preserve">$155.39</w:t>
      </w:r>
      <w:r>
        <w:t xml:space="preserve"> </w:t>
      </w:r>
      <w:r>
        <w:t xml:space="preserve">(-54.4%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2,268.6 bn USD; terminal share 51.3%.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31.4%</w:t>
      </w:r>
      <w:r>
        <w:t xml:space="preserve"> </w:t>
      </w:r>
      <w:r>
        <w:t xml:space="preserve">vs consensus FY+1 10.6%.</w:t>
      </w:r>
    </w:p>
    <w:p>
      <w:pPr>
        <w:pStyle w:val="Compact"/>
        <w:numPr>
          <w:ilvl w:val="0"/>
          <w:numId w:val="1013"/>
        </w:numPr>
      </w:pPr>
      <w:r>
        <w:t xml:space="preserve">WACC (CAPM) = rf 5.2% + β 1.07 × ERP 5.0% = 10.6%.</w:t>
      </w:r>
    </w:p>
    <w:p>
      <w:pPr>
        <w:pStyle w:val="Compact"/>
        <w:numPr>
          <w:ilvl w:val="0"/>
          <w:numId w:val="1013"/>
        </w:numPr>
      </w:pPr>
      <w:r>
        <w:t xml:space="preserve">SOTP segments: iPhone; Services </w:t>
      </w:r>
      <w:r>
        <w:rPr>
          <w:rFonts w:hint="eastAsia"/>
        </w:rPr>
        <w:t xml:space="preserve">服务;</w:t>
      </w:r>
      <w:r>
        <w:t xml:space="preserve"> Mac; iPad; Wearables/Home </w:t>
      </w:r>
      <w:r>
        <w:rPr>
          <w:rFonts w:hint="eastAsia"/>
        </w:rPr>
        <w:t xml:space="preserve">可穿戴</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Memory cost squeezes GM; Google TAC payment ruling; China share </w:t>
      </w:r>
      <w:r>
        <w:rPr>
          <w:rFonts w:hint="eastAsia"/>
        </w:rPr>
        <w:t xml:space="preserve">loss｜存储成本压毛利；谷歌分成裁决；中国份额流失</w:t>
      </w:r>
      <w:r>
        <w:t xml:space="preserve"> | Falsifiers: iPhone units decline y/y in upgrade cycle; services growth &lt;10%; GM guide </w:t>
      </w:r>
      <w:r>
        <w:rPr>
          <w:rFonts w:hint="eastAsia"/>
        </w:rPr>
        <w:t xml:space="preserve">down｜换机年iPhone仍同比下滑；服务增速&lt;10%；毛利指引下调</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AAPL_model_v20261013-1622.xlsx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2026-10-13T08:23:48Z</dcterms:created>
  <dcterms:modified xsi:type="dcterms:W3CDTF">2026-10-13T08:23:48Z</dcterms:modified>
</cp:coreProperties>
</file>

<file path=docProps/custom.xml><?xml version="1.0" encoding="utf-8"?>
<Properties xmlns="http://schemas.openxmlformats.org/officeDocument/2006/custom-properties" xmlns:vt="http://schemas.openxmlformats.org/officeDocument/2006/docPropsVTypes"/>
</file>