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2bded787c02b8841cab89121eb596ef9f772515"/>
    <w:p>
      <w:pPr>
        <w:pStyle w:val="Heading1"/>
      </w:pPr>
      <w:r>
        <w:t xml:space="preserve">CRWV CoreWeave, Inc.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$80.26｜市值</w:t>
      </w:r>
      <w:r>
        <w:t xml:space="preserve"> 44.3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CoreWeave以高杠杆换取AI算力租赁的高速增长；核心是积压订单(backlog)转化率、融资成本与GPU经济寿命。FCF深度为负属于商业模式特征。</w:t>
      </w:r>
    </w:p>
    <w:p>
      <w:pPr>
        <w:pStyle w:val="Compact"/>
        <w:numPr>
          <w:ilvl w:val="0"/>
          <w:numId w:val="1001"/>
        </w:numPr>
      </w:pPr>
      <w:r>
        <w:rPr>
          <w:rFonts w:hint="eastAsia"/>
          <w:b/>
          <w:bCs/>
        </w:rPr>
        <w:t xml:space="preserve">多头驱动</w:t>
      </w:r>
      <w:r>
        <w:t xml:space="preserve">: Backlog converts on time; financing spreads tighten; contract </w:t>
      </w:r>
      <w:r>
        <w:rPr>
          <w:rFonts w:hint="eastAsia"/>
        </w:rPr>
        <w:t xml:space="preserve">diversification｜积压订单按期转化；融资利差收窄；客户分散</w:t>
      </w:r>
    </w:p>
    <w:p>
      <w:pPr>
        <w:pStyle w:val="Compact"/>
        <w:numPr>
          <w:ilvl w:val="0"/>
          <w:numId w:val="1001"/>
        </w:numPr>
      </w:pPr>
      <w:r>
        <w:rPr>
          <w:rFonts w:hint="eastAsia"/>
          <w:b/>
          <w:bCs/>
        </w:rPr>
        <w:t xml:space="preserve">空头驱动</w:t>
      </w:r>
      <w:r>
        <w:t xml:space="preserve">: Delays in data-center delivery, refinancing stress, GPU price </w:t>
      </w:r>
      <w:r>
        <w:rPr>
          <w:rFonts w:hint="eastAsia"/>
        </w:rPr>
        <w:t xml:space="preserve">deflation｜交付延期、再融资压力、GPU租赁价格通缩</w:t>
      </w:r>
    </w:p>
    <w:p>
      <w:pPr>
        <w:pStyle w:val="Compact"/>
        <w:numPr>
          <w:ilvl w:val="0"/>
          <w:numId w:val="1001"/>
        </w:numPr>
      </w:pPr>
      <w:r>
        <w:rPr>
          <w:rFonts w:hint="eastAsia"/>
          <w:b/>
          <w:bCs/>
        </w:rPr>
        <w:t xml:space="preserve">证伪条件</w:t>
      </w:r>
      <w:r>
        <w:rPr>
          <w:b/>
          <w:bCs/>
        </w:rPr>
        <w:t xml:space="preserve"> Falsifiers</w:t>
      </w:r>
      <w:r>
        <w:t xml:space="preserve">: Active power MW below plan; interest expense outruns EBITDA growth; H100/B200 rental prices fall </w:t>
      </w:r>
      <w:r>
        <w:rPr>
          <w:rFonts w:hint="eastAsia"/>
        </w:rPr>
        <w:t xml:space="preserve">sharply｜在运营电力低于计划；利息增速超EBITDA；GPU租价暴跌</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neocloud GPU cloud </w:t>
      </w:r>
      <w:r>
        <w:rPr>
          <w:rFonts w:hint="eastAsia"/>
        </w:rPr>
        <w:t xml:space="preserve">AI新云</w:t>
      </w:r>
    </w:p>
    <w:p>
      <w:pPr>
        <w:pStyle w:val="Compact"/>
        <w:numPr>
          <w:ilvl w:val="0"/>
          <w:numId w:val="1002"/>
        </w:numPr>
      </w:pPr>
      <w:r>
        <w:rPr>
          <w:rFonts w:hint="eastAsia"/>
        </w:rPr>
        <w:t xml:space="preserve">业务分部</w:t>
      </w:r>
      <w:r>
        <w:t xml:space="preserve"> Segments: GPU cloud services </w:t>
      </w:r>
      <w:r>
        <w:rPr>
          <w:rFonts w:hint="eastAsia"/>
        </w:rPr>
        <w:t xml:space="preserve">GPU云服务</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CoreWeave, Inc. operates as a cloud infrastructure technology company in the United States. The company offers CoreWeave Cloud platform that comprises proprietary software and cloud services that deliver the automation and efficiency needed to manage complex artificial intelligence (AI) infrastructure at scale. It also offers data and storage solutions, such as Local Object Transport Accelerator; infrastructure control solutions, including CoreWeave Kubernetes service; mission control services, including node, rack, and fleet lifecycle management; model and agent development tools comprising Weights &amp; Biases, an AI developer platform; and runtime acceleration. In addition, the company offers graphics processing unit compute, CPU compute, networking services, managed services, and virtual and bare metal servers. Its services also include visual effects rendering, machine learning, pixel s</w:t>
      </w:r>
    </w:p>
    <w:p>
      <w:pPr>
        <w:pStyle w:val="Compact"/>
        <w:numPr>
          <w:ilvl w:val="0"/>
          <w:numId w:val="1002"/>
        </w:numPr>
      </w:pPr>
      <w:r>
        <w:rPr>
          <w:rFonts w:hint="eastAsia"/>
        </w:rPr>
        <w:t xml:space="preserve">主要客户:</w:t>
      </w:r>
      <w:r>
        <w:t xml:space="preserve"> Microsoft, OpenAI, Meta, Google, AI </w:t>
      </w:r>
      <w:r>
        <w:rPr>
          <w:rFonts w:hint="eastAsia"/>
        </w:rPr>
        <w:t xml:space="preserve">labs｜微软、OpenAI、Meta、谷歌、AI实验室</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NVDA (GPUs), Dell/SMCI (servers), data-center landlords (Core Scientific, Galaxy), </w:t>
      </w:r>
      <w:r>
        <w:rPr>
          <w:rFonts w:hint="eastAsia"/>
        </w:rPr>
        <w:t xml:space="preserve">lenders｜NVDA、服务器厂、数据中心房东、贷款方</w:t>
      </w:r>
    </w:p>
    <w:p>
      <w:pPr>
        <w:pStyle w:val="Compact"/>
        <w:numPr>
          <w:ilvl w:val="0"/>
          <w:numId w:val="1003"/>
        </w:numPr>
      </w:pPr>
      <w:r>
        <w:rPr>
          <w:rFonts w:hint="eastAsia"/>
        </w:rPr>
        <w:t xml:space="preserve">竞争者</w:t>
      </w:r>
      <w:r>
        <w:t xml:space="preserve"> </w:t>
      </w:r>
      <w:r>
        <w:rPr>
          <w:rFonts w:hint="eastAsia"/>
        </w:rPr>
        <w:t xml:space="preserve">(含业外):</w:t>
      </w:r>
      <w:r>
        <w:t xml:space="preserve"> Hyperscalers, Nebius, Lambda, Oracle </w:t>
      </w:r>
      <w:r>
        <w:rPr>
          <w:rFonts w:hint="eastAsia"/>
        </w:rPr>
        <w:t xml:space="preserve">OCI｜云厂、Nebius、Lambda、甲骨文</w:t>
      </w:r>
    </w:p>
    <w:p>
      <w:pPr>
        <w:pStyle w:val="Compact"/>
        <w:numPr>
          <w:ilvl w:val="0"/>
          <w:numId w:val="1003"/>
        </w:numPr>
      </w:pPr>
      <w:r>
        <w:rPr>
          <w:rFonts w:hint="eastAsia"/>
        </w:rPr>
        <w:t xml:space="preserve">瓶颈/监管:</w:t>
      </w:r>
      <w:r>
        <w:t xml:space="preserve"> Powered shell availability, debt financing cost, GPU depreciation </w:t>
      </w:r>
      <w:r>
        <w:rPr>
          <w:rFonts w:hint="eastAsia"/>
        </w:rPr>
        <w:t xml:space="preserve">life｜带电机房、债务融资成本、GPU折旧年限</w:t>
      </w:r>
    </w:p>
    <w:p>
      <w:pPr>
        <w:pStyle w:val="Compact"/>
        <w:numPr>
          <w:ilvl w:val="0"/>
          <w:numId w:val="1003"/>
        </w:numPr>
      </w:pPr>
      <w:r>
        <w:rPr>
          <w:rFonts w:hint="eastAsia"/>
        </w:rPr>
        <w:t xml:space="preserve">关键KPI:</w:t>
      </w:r>
      <w:r>
        <w:t xml:space="preserve"> Backlog/RPO, active MW, contracted MW, interest expense, </w:t>
      </w:r>
      <w:r>
        <w:rPr>
          <w:rFonts w:hint="eastAsia"/>
        </w:rPr>
        <w:t xml:space="preserve">capex｜积压订单、在运营MW、签约MW、利息费用、Capex</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2.6 bn USD</w:t>
            </w:r>
          </w:p>
        </w:tc>
        <w:tc>
          <w:tcPr/>
          <w:p>
            <w:pPr>
              <w:pStyle w:val="Compact"/>
            </w:pPr>
            <w:r>
              <w:t xml:space="preserve">1.7 bn USD</w:t>
            </w:r>
          </w:p>
        </w:tc>
        <w:tc>
          <w:tcPr/>
          <w:p>
            <w:pPr>
              <w:pStyle w:val="Compact"/>
            </w:pPr>
            <w:r>
              <w:t xml:space="preserve">-49.0 mn USD</w:t>
            </w:r>
          </w:p>
        </w:tc>
        <w:tc>
          <w:tcPr/>
          <w:p>
            <w:pPr>
              <w:pStyle w:val="Compact"/>
            </w:pPr>
            <w:r>
              <w:t xml:space="preserve">-0.6 bn USD</w:t>
            </w:r>
          </w:p>
        </w:tc>
        <w:tc>
          <w:tcPr/>
          <w:p>
            <w:pPr>
              <w:pStyle w:val="Compact"/>
            </w:pPr>
            <w:r>
              <w:t xml:space="preserve">-5.7 bn USD</w:t>
            </w:r>
          </w:p>
        </w:tc>
        <w:tc>
          <w:tcPr/>
          <w:p>
            <w:pPr>
              <w:pStyle w:val="Compact"/>
            </w:pPr>
            <w:r>
              <w:t xml:space="preserve">-1.9%</w:t>
            </w:r>
          </w:p>
        </w:tc>
      </w:tr>
      <w:tr>
        <w:tc>
          <w:tcPr/>
          <w:p>
            <w:pPr>
              <w:pStyle w:val="Compact"/>
            </w:pPr>
            <w:r>
              <w:t xml:space="preserve">2026-03-31</w:t>
            </w:r>
          </w:p>
        </w:tc>
        <w:tc>
          <w:tcPr/>
          <w:p>
            <w:pPr>
              <w:pStyle w:val="Compact"/>
            </w:pPr>
            <w:r>
              <w:t xml:space="preserve">2.1 bn USD</w:t>
            </w:r>
          </w:p>
        </w:tc>
        <w:tc>
          <w:tcPr/>
          <w:p>
            <w:pPr>
              <w:pStyle w:val="Compact"/>
            </w:pPr>
            <w:r>
              <w:t xml:space="preserve">1.4 bn USD</w:t>
            </w:r>
          </w:p>
        </w:tc>
        <w:tc>
          <w:tcPr/>
          <w:p>
            <w:pPr>
              <w:pStyle w:val="Compact"/>
            </w:pPr>
            <w:r>
              <w:t xml:space="preserve">-0.1 bn USD</w:t>
            </w:r>
          </w:p>
        </w:tc>
        <w:tc>
          <w:tcPr/>
          <w:p>
            <w:pPr>
              <w:pStyle w:val="Compact"/>
            </w:pPr>
            <w:r>
              <w:t xml:space="preserve">-0.7 bn USD</w:t>
            </w:r>
          </w:p>
        </w:tc>
        <w:tc>
          <w:tcPr/>
          <w:p>
            <w:pPr>
              <w:pStyle w:val="Compact"/>
            </w:pPr>
            <w:r>
              <w:t xml:space="preserve">-4.7 bn USD</w:t>
            </w:r>
          </w:p>
        </w:tc>
        <w:tc>
          <w:tcPr/>
          <w:p>
            <w:pPr>
              <w:pStyle w:val="Compact"/>
            </w:pPr>
            <w:r>
              <w:t xml:space="preserve">-6.9%</w:t>
            </w:r>
          </w:p>
        </w:tc>
      </w:tr>
      <w:tr>
        <w:tc>
          <w:tcPr/>
          <w:p>
            <w:pPr>
              <w:pStyle w:val="Compact"/>
            </w:pPr>
            <w:r>
              <w:t xml:space="preserve">2025-12-31</w:t>
            </w:r>
          </w:p>
        </w:tc>
        <w:tc>
          <w:tcPr/>
          <w:p>
            <w:pPr>
              <w:pStyle w:val="Compact"/>
            </w:pPr>
            <w:r>
              <w:t xml:space="preserve">1.6 bn USD</w:t>
            </w:r>
          </w:p>
        </w:tc>
        <w:tc>
          <w:tcPr/>
          <w:p>
            <w:pPr>
              <w:pStyle w:val="Compact"/>
            </w:pPr>
            <w:r>
              <w:t xml:space="preserve">1.1 bn USD</w:t>
            </w:r>
          </w:p>
        </w:tc>
        <w:tc>
          <w:tcPr/>
          <w:p>
            <w:pPr>
              <w:pStyle w:val="Compact"/>
            </w:pPr>
            <w:r>
              <w:t xml:space="preserve">-89.6 mn USD</w:t>
            </w:r>
          </w:p>
        </w:tc>
        <w:tc>
          <w:tcPr/>
          <w:p>
            <w:pPr>
              <w:pStyle w:val="Compact"/>
            </w:pPr>
            <w:r>
              <w:t xml:space="preserve">-0.5 bn USD</w:t>
            </w:r>
          </w:p>
        </w:tc>
        <w:tc>
          <w:tcPr/>
          <w:p>
            <w:pPr>
              <w:pStyle w:val="Compact"/>
            </w:pPr>
            <w:r>
              <w:t xml:space="preserve">-2.5 bn USD</w:t>
            </w:r>
          </w:p>
        </w:tc>
        <w:tc>
          <w:tcPr/>
          <w:p>
            <w:pPr>
              <w:pStyle w:val="Compact"/>
            </w:pPr>
            <w:r>
              <w:t xml:space="preserve">-5.7%</w:t>
            </w:r>
          </w:p>
        </w:tc>
      </w:tr>
      <w:tr>
        <w:tc>
          <w:tcPr/>
          <w:p>
            <w:pPr>
              <w:pStyle w:val="Compact"/>
            </w:pPr>
            <w:r>
              <w:t xml:space="preserve">2025-09-30</w:t>
            </w:r>
          </w:p>
        </w:tc>
        <w:tc>
          <w:tcPr/>
          <w:p>
            <w:pPr>
              <w:pStyle w:val="Compact"/>
            </w:pPr>
            <w:r>
              <w:t xml:space="preserve">1.4 bn USD</w:t>
            </w:r>
          </w:p>
        </w:tc>
        <w:tc>
          <w:tcPr/>
          <w:p>
            <w:pPr>
              <w:pStyle w:val="Compact"/>
            </w:pPr>
            <w:r>
              <w:t xml:space="preserve">1.0 bn USD</w:t>
            </w:r>
          </w:p>
        </w:tc>
        <w:tc>
          <w:tcPr/>
          <w:p>
            <w:pPr>
              <w:pStyle w:val="Compact"/>
            </w:pPr>
            <w:r>
              <w:t xml:space="preserve">51.9 mn USD</w:t>
            </w:r>
          </w:p>
        </w:tc>
        <w:tc>
          <w:tcPr/>
          <w:p>
            <w:pPr>
              <w:pStyle w:val="Compact"/>
            </w:pPr>
            <w:r>
              <w:t xml:space="preserve">-0.1 bn USD</w:t>
            </w:r>
          </w:p>
        </w:tc>
        <w:tc>
          <w:tcPr/>
          <w:p>
            <w:pPr>
              <w:pStyle w:val="Compact"/>
            </w:pPr>
            <w:r>
              <w:t xml:space="preserve">-0.7 bn USD</w:t>
            </w:r>
          </w:p>
        </w:tc>
        <w:tc>
          <w:tcPr/>
          <w:p>
            <w:pPr>
              <w:pStyle w:val="Compact"/>
            </w:pPr>
            <w:r>
              <w:t xml:space="preserve">3.8%</w:t>
            </w:r>
          </w:p>
        </w:tc>
      </w:tr>
      <w:tr>
        <w:tc>
          <w:tcPr/>
          <w:p>
            <w:pPr>
              <w:pStyle w:val="Compact"/>
            </w:pPr>
            <w:r>
              <w:t xml:space="preserve">2025-06-30</w:t>
            </w:r>
          </w:p>
        </w:tc>
        <w:tc>
          <w:tcPr/>
          <w:p>
            <w:pPr>
              <w:pStyle w:val="Compact"/>
            </w:pPr>
            <w:r>
              <w:t xml:space="preserve">1.2 bn USD</w:t>
            </w:r>
          </w:p>
        </w:tc>
        <w:tc>
          <w:tcPr/>
          <w:p>
            <w:pPr>
              <w:pStyle w:val="Compact"/>
            </w:pPr>
            <w:r>
              <w:t xml:space="preserve">0.9 bn USD</w:t>
            </w:r>
          </w:p>
        </w:tc>
        <w:tc>
          <w:tcPr/>
          <w:p>
            <w:pPr>
              <w:pStyle w:val="Compact"/>
            </w:pPr>
            <w:r>
              <w:t xml:space="preserve">19.0 mn USD</w:t>
            </w:r>
          </w:p>
        </w:tc>
        <w:tc>
          <w:tcPr/>
          <w:p>
            <w:pPr>
              <w:pStyle w:val="Compact"/>
            </w:pPr>
            <w:r>
              <w:t xml:space="preserve">-0.3 bn USD</w:t>
            </w:r>
          </w:p>
        </w:tc>
        <w:tc>
          <w:tcPr/>
          <w:p>
            <w:pPr>
              <w:pStyle w:val="Compact"/>
            </w:pPr>
            <w:r>
              <w:t xml:space="preserve">-2.7 bn USD</w:t>
            </w:r>
          </w:p>
        </w:tc>
        <w:tc>
          <w:tcPr/>
          <w:p>
            <w:pPr>
              <w:pStyle w:val="Compact"/>
            </w:pPr>
            <w:r>
              <w:t xml:space="preserve">1.6%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5.5 bn </w:t>
      </w:r>
      <w:r>
        <w:rPr>
          <w:rFonts w:hint="eastAsia"/>
        </w:rPr>
        <w:t xml:space="preserve">USD；总负债</w:t>
      </w:r>
      <w:r>
        <w:t xml:space="preserve"> 51.6 bn </w:t>
      </w:r>
      <w:r>
        <w:rPr>
          <w:rFonts w:hint="eastAsia"/>
        </w:rPr>
        <w:t xml:space="preserve">USD；净现金</w:t>
      </w:r>
      <w:r>
        <w:t xml:space="preserve"> -46.1 bn USD。TTM FCF -13.7 bn </w:t>
      </w:r>
      <w:r>
        <w:rPr>
          <w:rFonts w:hint="eastAsia"/>
        </w:rPr>
        <w:t xml:space="preserve">USD（FCF率</w:t>
      </w:r>
      <w:r>
        <w:t xml:space="preserve"> </w:t>
      </w:r>
      <w:r>
        <w:rPr>
          <w:rFonts w:hint="eastAsia"/>
        </w:rPr>
        <w:t xml:space="preserve">-50.0%）。</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-0.22</w:t>
            </w:r>
          </w:p>
        </w:tc>
        <w:tc>
          <w:tcPr/>
          <w:p>
            <w:pPr>
              <w:pStyle w:val="Compact"/>
            </w:pPr>
            <w:r>
              <w:t xml:space="preserve">-0.48219</w:t>
            </w:r>
          </w:p>
        </w:tc>
        <w:tc>
          <w:tcPr/>
          <w:p>
            <w:pPr>
              <w:pStyle w:val="Compact"/>
            </w:pPr>
            <w:r>
              <w:t xml:space="preserve">0.5437</w:t>
            </w:r>
          </w:p>
        </w:tc>
      </w:tr>
      <w:tr>
        <w:tc>
          <w:tcPr/>
          <w:p>
            <w:pPr>
              <w:pStyle w:val="Compact"/>
            </w:pPr>
            <w:r>
              <w:t xml:space="preserve">2025-12-31</w:t>
            </w:r>
          </w:p>
        </w:tc>
        <w:tc>
          <w:tcPr/>
          <w:p>
            <w:pPr>
              <w:pStyle w:val="Compact"/>
            </w:pPr>
            <w:r>
              <w:t xml:space="preserve">-0.89</w:t>
            </w:r>
          </w:p>
        </w:tc>
        <w:tc>
          <w:tcPr/>
          <w:p>
            <w:pPr>
              <w:pStyle w:val="Compact"/>
            </w:pPr>
            <w:r>
              <w:t xml:space="preserve">-0.68481</w:t>
            </w:r>
          </w:p>
        </w:tc>
        <w:tc>
          <w:tcPr/>
          <w:p>
            <w:pPr>
              <w:pStyle w:val="Compact"/>
            </w:pPr>
            <w:r>
              <w:t xml:space="preserve">-0.2996</w:t>
            </w:r>
          </w:p>
        </w:tc>
      </w:tr>
      <w:tr>
        <w:tc>
          <w:tcPr/>
          <w:p>
            <w:pPr>
              <w:pStyle w:val="Compact"/>
            </w:pPr>
            <w:r>
              <w:t xml:space="preserve">2026-03-31</w:t>
            </w:r>
          </w:p>
        </w:tc>
        <w:tc>
          <w:tcPr/>
          <w:p>
            <w:pPr>
              <w:pStyle w:val="Compact"/>
            </w:pPr>
            <w:r>
              <w:t xml:space="preserve">-1.4</w:t>
            </w:r>
          </w:p>
        </w:tc>
        <w:tc>
          <w:tcPr/>
          <w:p>
            <w:pPr>
              <w:pStyle w:val="Compact"/>
            </w:pPr>
            <w:r>
              <w:t xml:space="preserve">-1.2042</w:t>
            </w:r>
          </w:p>
        </w:tc>
        <w:tc>
          <w:tcPr/>
          <w:p>
            <w:pPr>
              <w:pStyle w:val="Compact"/>
            </w:pPr>
            <w:r>
              <w:t xml:space="preserve">-0.1626</w:t>
            </w:r>
          </w:p>
        </w:tc>
      </w:tr>
      <w:tr>
        <w:tc>
          <w:tcPr/>
          <w:p>
            <w:pPr>
              <w:pStyle w:val="Compact"/>
            </w:pPr>
            <w:r>
              <w:t xml:space="preserve">2026-06-30</w:t>
            </w:r>
          </w:p>
        </w:tc>
        <w:tc>
          <w:tcPr/>
          <w:p>
            <w:pPr>
              <w:pStyle w:val="Compact"/>
            </w:pPr>
            <w:r>
              <w:t xml:space="preserve">-1.14</w:t>
            </w:r>
          </w:p>
        </w:tc>
        <w:tc>
          <w:tcPr/>
          <w:p>
            <w:pPr>
              <w:pStyle w:val="Compact"/>
            </w:pPr>
            <w:r>
              <w:t xml:space="preserve">-1.46997</w:t>
            </w:r>
          </w:p>
        </w:tc>
        <w:tc>
          <w:tcPr/>
          <w:p>
            <w:pPr>
              <w:pStyle w:val="Compact"/>
            </w:pPr>
            <w:r>
              <w:t xml:space="preserve">0.2245</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2026-11-12</w:t>
      </w:r>
      <w:r>
        <w:rPr>
          <w:rFonts w:hint="eastAsia"/>
        </w:rPr>
        <w:t xml:space="preserve">；本季EPS一致预期</w:t>
      </w:r>
      <w:r>
        <w:t xml:space="preserve"> </w:t>
      </w:r>
      <w:r>
        <w:rPr>
          <w:rFonts w:hint="eastAsia"/>
        </w:rPr>
        <w:t xml:space="preserve">-1.52697（18位分析师）；收入一致预期</w:t>
      </w:r>
      <w:r>
        <w:t xml:space="preserve"> 3.5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$-190.84</w:t>
            </w:r>
          </w:p>
        </w:tc>
        <w:tc>
          <w:tcPr/>
          <w:p>
            <w:pPr>
              <w:pStyle w:val="Compact"/>
            </w:pPr>
            <w:r>
              <w:t xml:space="preserve">-337.8%</w:t>
            </w:r>
          </w:p>
        </w:tc>
      </w:tr>
      <w:tr>
        <w:tc>
          <w:tcPr/>
          <w:p>
            <w:pPr>
              <w:pStyle w:val="Compact"/>
            </w:pPr>
            <w:r>
              <w:t xml:space="preserve">2Q</w:t>
            </w:r>
          </w:p>
        </w:tc>
        <w:tc>
          <w:tcPr/>
          <w:p>
            <w:pPr>
              <w:pStyle w:val="Compact"/>
            </w:pPr>
            <w:r>
              <w:t xml:space="preserve">Base</w:t>
            </w:r>
          </w:p>
        </w:tc>
        <w:tc>
          <w:tcPr/>
          <w:p>
            <w:pPr>
              <w:pStyle w:val="Compact"/>
            </w:pPr>
            <w:r>
              <w:t xml:space="preserve">$-359.83</w:t>
            </w:r>
          </w:p>
        </w:tc>
        <w:tc>
          <w:tcPr/>
          <w:p>
            <w:pPr>
              <w:pStyle w:val="Compact"/>
            </w:pPr>
            <w:r>
              <w:t xml:space="preserve">-548.3%</w:t>
            </w:r>
          </w:p>
        </w:tc>
      </w:tr>
      <w:tr>
        <w:tc>
          <w:tcPr/>
          <w:p>
            <w:pPr>
              <w:pStyle w:val="Compact"/>
            </w:pPr>
            <w:r>
              <w:t xml:space="preserve">2Q</w:t>
            </w:r>
          </w:p>
        </w:tc>
        <w:tc>
          <w:tcPr/>
          <w:p>
            <w:pPr>
              <w:pStyle w:val="Compact"/>
            </w:pPr>
            <w:r>
              <w:t xml:space="preserve">Bull</w:t>
            </w:r>
          </w:p>
        </w:tc>
        <w:tc>
          <w:tcPr/>
          <w:p>
            <w:pPr>
              <w:pStyle w:val="Compact"/>
            </w:pPr>
            <w:r>
              <w:t xml:space="preserve">$-554.35</w:t>
            </w:r>
          </w:p>
        </w:tc>
        <w:tc>
          <w:tcPr/>
          <w:p>
            <w:pPr>
              <w:pStyle w:val="Compact"/>
            </w:pPr>
            <w:r>
              <w:t xml:space="preserve">-790.7%</w:t>
            </w:r>
          </w:p>
        </w:tc>
      </w:tr>
      <w:tr>
        <w:tc>
          <w:tcPr/>
          <w:p>
            <w:pPr>
              <w:pStyle w:val="Compact"/>
            </w:pPr>
            <w:r>
              <w:t xml:space="preserve">4Q</w:t>
            </w:r>
          </w:p>
        </w:tc>
        <w:tc>
          <w:tcPr/>
          <w:p>
            <w:pPr>
              <w:pStyle w:val="Compact"/>
            </w:pPr>
            <w:r>
              <w:t xml:space="preserve">Bear</w:t>
            </w:r>
          </w:p>
        </w:tc>
        <w:tc>
          <w:tcPr/>
          <w:p>
            <w:pPr>
              <w:pStyle w:val="Compact"/>
            </w:pPr>
            <w:r>
              <w:t xml:space="preserve">$-177.94</w:t>
            </w:r>
          </w:p>
        </w:tc>
        <w:tc>
          <w:tcPr/>
          <w:p>
            <w:pPr>
              <w:pStyle w:val="Compact"/>
            </w:pPr>
            <w:r>
              <w:t xml:space="preserve">-321.7%</w:t>
            </w:r>
          </w:p>
        </w:tc>
      </w:tr>
      <w:tr>
        <w:tc>
          <w:tcPr/>
          <w:p>
            <w:pPr>
              <w:pStyle w:val="Compact"/>
            </w:pPr>
            <w:r>
              <w:t xml:space="preserve">4Q</w:t>
            </w:r>
          </w:p>
        </w:tc>
        <w:tc>
          <w:tcPr/>
          <w:p>
            <w:pPr>
              <w:pStyle w:val="Compact"/>
            </w:pPr>
            <w:r>
              <w:t xml:space="preserve">Base</w:t>
            </w:r>
          </w:p>
        </w:tc>
        <w:tc>
          <w:tcPr/>
          <w:p>
            <w:pPr>
              <w:pStyle w:val="Compact"/>
            </w:pPr>
            <w:r>
              <w:t xml:space="preserve">$-370.40</w:t>
            </w:r>
          </w:p>
        </w:tc>
        <w:tc>
          <w:tcPr/>
          <w:p>
            <w:pPr>
              <w:pStyle w:val="Compact"/>
            </w:pPr>
            <w:r>
              <w:t xml:space="preserve">-561.5%</w:t>
            </w:r>
          </w:p>
        </w:tc>
      </w:tr>
      <w:tr>
        <w:tc>
          <w:tcPr/>
          <w:p>
            <w:pPr>
              <w:pStyle w:val="Compact"/>
            </w:pPr>
            <w:r>
              <w:t xml:space="preserve">4Q</w:t>
            </w:r>
          </w:p>
        </w:tc>
        <w:tc>
          <w:tcPr/>
          <w:p>
            <w:pPr>
              <w:pStyle w:val="Compact"/>
            </w:pPr>
            <w:r>
              <w:t xml:space="preserve">Bull</w:t>
            </w:r>
          </w:p>
        </w:tc>
        <w:tc>
          <w:tcPr/>
          <w:p>
            <w:pPr>
              <w:pStyle w:val="Compact"/>
            </w:pPr>
            <w:r>
              <w:t xml:space="preserve">$-604.31</w:t>
            </w:r>
          </w:p>
        </w:tc>
        <w:tc>
          <w:tcPr/>
          <w:p>
            <w:pPr>
              <w:pStyle w:val="Compact"/>
            </w:pPr>
            <w:r>
              <w:t xml:space="preserve">-852.9%</w:t>
            </w:r>
          </w:p>
        </w:tc>
      </w:tr>
      <w:tr>
        <w:tc>
          <w:tcPr/>
          <w:p>
            <w:pPr>
              <w:pStyle w:val="Compact"/>
            </w:pPr>
            <w:r>
              <w:t xml:space="preserve">6Q</w:t>
            </w:r>
          </w:p>
        </w:tc>
        <w:tc>
          <w:tcPr/>
          <w:p>
            <w:pPr>
              <w:pStyle w:val="Compact"/>
            </w:pPr>
            <w:r>
              <w:t xml:space="preserve">Bear</w:t>
            </w:r>
          </w:p>
        </w:tc>
        <w:tc>
          <w:tcPr/>
          <w:p>
            <w:pPr>
              <w:pStyle w:val="Compact"/>
            </w:pPr>
            <w:r>
              <w:t xml:space="preserve">$-160.11</w:t>
            </w:r>
          </w:p>
        </w:tc>
        <w:tc>
          <w:tcPr/>
          <w:p>
            <w:pPr>
              <w:pStyle w:val="Compact"/>
            </w:pPr>
            <w:r>
              <w:t xml:space="preserve">-299.5%</w:t>
            </w:r>
          </w:p>
        </w:tc>
      </w:tr>
      <w:tr>
        <w:tc>
          <w:tcPr/>
          <w:p>
            <w:pPr>
              <w:pStyle w:val="Compact"/>
            </w:pPr>
            <w:r>
              <w:t xml:space="preserve">6Q</w:t>
            </w:r>
          </w:p>
        </w:tc>
        <w:tc>
          <w:tcPr/>
          <w:p>
            <w:pPr>
              <w:pStyle w:val="Compact"/>
            </w:pPr>
            <w:r>
              <w:t xml:space="preserve">Base</w:t>
            </w:r>
          </w:p>
        </w:tc>
        <w:tc>
          <w:tcPr/>
          <w:p>
            <w:pPr>
              <w:pStyle w:val="Compact"/>
            </w:pPr>
            <w:r>
              <w:t xml:space="preserve">$-359.16</w:t>
            </w:r>
          </w:p>
        </w:tc>
        <w:tc>
          <w:tcPr/>
          <w:p>
            <w:pPr>
              <w:pStyle w:val="Compact"/>
            </w:pPr>
            <w:r>
              <w:t xml:space="preserve">-547.5%</w:t>
            </w:r>
          </w:p>
        </w:tc>
      </w:tr>
      <w:tr>
        <w:tc>
          <w:tcPr/>
          <w:p>
            <w:pPr>
              <w:pStyle w:val="Compact"/>
            </w:pPr>
            <w:r>
              <w:t xml:space="preserve">6Q</w:t>
            </w:r>
          </w:p>
        </w:tc>
        <w:tc>
          <w:tcPr/>
          <w:p>
            <w:pPr>
              <w:pStyle w:val="Compact"/>
            </w:pPr>
            <w:r>
              <w:t xml:space="preserve">Bull</w:t>
            </w:r>
          </w:p>
        </w:tc>
        <w:tc>
          <w:tcPr/>
          <w:p>
            <w:pPr>
              <w:pStyle w:val="Compact"/>
            </w:pPr>
            <w:r>
              <w:t xml:space="preserve">$-610.68</w:t>
            </w:r>
          </w:p>
        </w:tc>
        <w:tc>
          <w:tcPr/>
          <w:p>
            <w:pPr>
              <w:pStyle w:val="Compact"/>
            </w:pPr>
            <w:r>
              <w:t xml:space="preserve">-860.9%</w:t>
            </w:r>
          </w:p>
        </w:tc>
      </w:tr>
      <w:tr>
        <w:tc>
          <w:tcPr/>
          <w:p>
            <w:pPr>
              <w:pStyle w:val="Compact"/>
            </w:pPr>
            <w:r>
              <w:t xml:space="preserve">8Q</w:t>
            </w:r>
          </w:p>
        </w:tc>
        <w:tc>
          <w:tcPr/>
          <w:p>
            <w:pPr>
              <w:pStyle w:val="Compact"/>
            </w:pPr>
            <w:r>
              <w:t xml:space="preserve">Bear</w:t>
            </w:r>
          </w:p>
        </w:tc>
        <w:tc>
          <w:tcPr/>
          <w:p>
            <w:pPr>
              <w:pStyle w:val="Compact"/>
            </w:pPr>
            <w:r>
              <w:t xml:space="preserve">$-135.93</w:t>
            </w:r>
          </w:p>
        </w:tc>
        <w:tc>
          <w:tcPr/>
          <w:p>
            <w:pPr>
              <w:pStyle w:val="Compact"/>
            </w:pPr>
            <w:r>
              <w:t xml:space="preserve">-269.4%</w:t>
            </w:r>
          </w:p>
        </w:tc>
      </w:tr>
      <w:tr>
        <w:tc>
          <w:tcPr/>
          <w:p>
            <w:pPr>
              <w:pStyle w:val="Compact"/>
            </w:pPr>
            <w:r>
              <w:t xml:space="preserve">8Q</w:t>
            </w:r>
          </w:p>
        </w:tc>
        <w:tc>
          <w:tcPr/>
          <w:p>
            <w:pPr>
              <w:pStyle w:val="Compact"/>
            </w:pPr>
            <w:r>
              <w:t xml:space="preserve">Base</w:t>
            </w:r>
          </w:p>
        </w:tc>
        <w:tc>
          <w:tcPr/>
          <w:p>
            <w:pPr>
              <w:pStyle w:val="Compact"/>
            </w:pPr>
            <w:r>
              <w:t xml:space="preserve">$-309.49</w:t>
            </w:r>
          </w:p>
        </w:tc>
        <w:tc>
          <w:tcPr/>
          <w:p>
            <w:pPr>
              <w:pStyle w:val="Compact"/>
            </w:pPr>
            <w:r>
              <w:t xml:space="preserve">-485.6%</w:t>
            </w:r>
          </w:p>
        </w:tc>
      </w:tr>
      <w:tr>
        <w:tc>
          <w:tcPr/>
          <w:p>
            <w:pPr>
              <w:pStyle w:val="Compact"/>
            </w:pPr>
            <w:r>
              <w:t xml:space="preserve">8Q</w:t>
            </w:r>
          </w:p>
        </w:tc>
        <w:tc>
          <w:tcPr/>
          <w:p>
            <w:pPr>
              <w:pStyle w:val="Compact"/>
            </w:pPr>
            <w:r>
              <w:t xml:space="preserve">Bull</w:t>
            </w:r>
          </w:p>
        </w:tc>
        <w:tc>
          <w:tcPr/>
          <w:p>
            <w:pPr>
              <w:pStyle w:val="Compact"/>
            </w:pPr>
            <w:r>
              <w:t xml:space="preserve">$-524.71</w:t>
            </w:r>
          </w:p>
        </w:tc>
        <w:tc>
          <w:tcPr/>
          <w:p>
            <w:pPr>
              <w:pStyle w:val="Compact"/>
            </w:pPr>
            <w:r>
              <w:t xml:space="preserve">-753.8%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50.0%</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$-21.45</w:t>
            </w:r>
          </w:p>
        </w:tc>
        <w:tc>
          <w:tcPr/>
          <w:p>
            <w:pPr>
              <w:pStyle w:val="Compact"/>
            </w:pPr>
            <w:r>
              <w:t xml:space="preserve">-126.7%</w:t>
            </w:r>
          </w:p>
        </w:tc>
      </w:tr>
      <w:tr>
        <w:tc>
          <w:tcPr/>
          <w:p>
            <w:pPr>
              <w:pStyle w:val="Compact"/>
            </w:pPr>
            <w:r>
              <w:t xml:space="preserve">Base</w:t>
            </w:r>
          </w:p>
        </w:tc>
        <w:tc>
          <w:tcPr/>
          <w:p>
            <w:pPr>
              <w:pStyle w:val="Compact"/>
            </w:pPr>
            <w:r>
              <w:t xml:space="preserve">100.0%</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$496.78</w:t>
            </w:r>
          </w:p>
        </w:tc>
        <w:tc>
          <w:tcPr/>
          <w:p>
            <w:pPr>
              <w:pStyle w:val="Compact"/>
            </w:pPr>
            <w:r>
              <w:t xml:space="preserve">519.0%</w:t>
            </w:r>
          </w:p>
        </w:tc>
      </w:tr>
      <w:tr>
        <w:tc>
          <w:tcPr/>
          <w:p>
            <w:pPr>
              <w:pStyle w:val="Compact"/>
            </w:pPr>
            <w:r>
              <w:t xml:space="preserve">Bull</w:t>
            </w:r>
          </w:p>
        </w:tc>
        <w:tc>
          <w:tcPr/>
          <w:p>
            <w:pPr>
              <w:pStyle w:val="Compact"/>
            </w:pPr>
            <w:r>
              <w:t xml:space="preserve">130.0%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$1,736.11</w:t>
            </w:r>
          </w:p>
        </w:tc>
        <w:tc>
          <w:tcPr/>
          <w:p>
            <w:pPr>
              <w:pStyle w:val="Compact"/>
            </w:pPr>
            <w:r>
              <w:t xml:space="preserve">2063.1%</w:t>
            </w:r>
          </w:p>
        </w:tc>
      </w:tr>
    </w:tbl>
    <w:p>
      <w:pPr>
        <w:pStyle w:val="BodyText"/>
      </w:pPr>
      <w:r>
        <w:rPr>
          <w:rFonts w:hint="eastAsia"/>
        </w:rPr>
        <w:t xml:space="preserve">概率加权价值</w:t>
      </w:r>
      <w:r>
        <w:t xml:space="preserve"> </w:t>
      </w:r>
      <w:r>
        <w:rPr>
          <w:b/>
          <w:bCs/>
        </w:rPr>
        <w:t xml:space="preserve">$677.06</w:t>
      </w:r>
      <w:r>
        <w:rPr>
          <w:rFonts w:hint="eastAsia"/>
        </w:rPr>
        <w:t xml:space="preserve">（相对现价</w:t>
      </w:r>
      <w:r>
        <w:t xml:space="preserve"> </w:t>
      </w:r>
      <w:r>
        <w:rPr>
          <w:rFonts w:hint="eastAsia"/>
        </w:rPr>
        <w:t xml:space="preserve">743.6%）。</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320.1 bn </w:t>
      </w:r>
      <w:r>
        <w:rPr>
          <w:rFonts w:hint="eastAsia"/>
        </w:rPr>
        <w:t xml:space="preserve">USD；终值占比</w:t>
      </w:r>
      <w:r>
        <w:t xml:space="preserve"> 71.1%。</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61.6%</w:t>
      </w:r>
      <w:r>
        <w:rPr>
          <w:rFonts w:hint="eastAsia"/>
        </w:rPr>
        <w:t xml:space="preserve">；一致预期FY+1增速</w:t>
      </w:r>
      <w:r>
        <w:t xml:space="preserve"> 100.0%。</w:t>
      </w:r>
    </w:p>
    <w:p>
      <w:pPr>
        <w:numPr>
          <w:ilvl w:val="0"/>
          <w:numId w:val="1005"/>
        </w:numPr>
      </w:pPr>
      <w:r>
        <w:t xml:space="preserve">WACC (CAPM) = rf 5.2% + β 1.30 × ERP 5.0% = 11.7%。</w:t>
      </w:r>
    </w:p>
    <w:p>
      <w:pPr>
        <w:numPr>
          <w:ilvl w:val="0"/>
          <w:numId w:val="1005"/>
        </w:numPr>
      </w:pPr>
      <w:r>
        <w:t xml:space="preserve">SOTP segments </w:t>
      </w:r>
      <w:r>
        <w:rPr>
          <w:rFonts w:hint="eastAsia"/>
        </w:rPr>
        <w:t xml:space="preserve">分部:</w:t>
      </w:r>
      <w:r>
        <w:t xml:space="preserve"> GPU cloud services </w:t>
      </w:r>
      <w:r>
        <w:rPr>
          <w:rFonts w:hint="eastAsia"/>
        </w:rPr>
        <w:t xml:space="preserve">GPU云服务.</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CRWV | 44.3 bn USD | 11.9x | -43.8x | 112.5% | 67.4% | -30.8% |</w:t>
      </w:r>
      <w:r>
        <w:t xml:space="preserve"> </w:t>
      </w:r>
      <w:r>
        <w:t xml:space="preserve">| NBIS | 57.1 bn USD | 44.1x | -59.0x | 454.0% | 74.3% | -16.8% |</w:t>
      </w:r>
      <w:r>
        <w:t xml:space="preserve"> </w:t>
      </w:r>
      <w:r>
        <w:t xml:space="preserve">| ORCL | 416.5 bn USD | 7.7x | 12.5x | 29.6% | 64.0% | -11.0% |</w:t>
      </w:r>
      <w:r>
        <w:t xml:space="preserve"> </w:t>
      </w:r>
      <w:r>
        <w:t xml:space="preserve">| NVDA | 5,464.9 bn USD | 17.9x | 14.2x | 105.9% | 74.7% | 0.8%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Delays in data-center delivery, refinancing stress, GPU price </w:t>
      </w:r>
      <w:r>
        <w:rPr>
          <w:rFonts w:hint="eastAsia"/>
        </w:rPr>
        <w:t xml:space="preserve">deflation｜交付延期、再融资压力、GPU租赁价格通缩</w:t>
      </w:r>
    </w:p>
    <w:p>
      <w:pPr>
        <w:pStyle w:val="Compact"/>
        <w:numPr>
          <w:ilvl w:val="0"/>
          <w:numId w:val="1006"/>
        </w:numPr>
      </w:pPr>
      <w:r>
        <w:rPr>
          <w:rFonts w:hint="eastAsia"/>
        </w:rPr>
        <w:t xml:space="preserve">证伪指标:</w:t>
      </w:r>
      <w:r>
        <w:t xml:space="preserve"> Active power MW below plan; interest expense outruns EBITDA growth; H100/B200 rental prices fall </w:t>
      </w:r>
      <w:r>
        <w:rPr>
          <w:rFonts w:hint="eastAsia"/>
        </w:rPr>
        <w:t xml:space="preserve">sharply｜在运营电力低于计划；利息增速超EBITDA；GPU租价暴跌</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80.26</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4.427e+10</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5.539e+09</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5.161e+10</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7.59e+09</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-1.366e+10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1.3</w:t>
            </w:r>
          </w:p>
        </w:tc>
        <w:tc>
          <w:tcPr/>
          <w:p>
            <w:pPr>
              <w:pStyle w:val="Compact"/>
            </w:pPr>
            <w:r>
              <w:t xml:space="preserve">ASSUMPTION (no beta history; recent IPO) = 1.3</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1.508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1.043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1.30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CRWV_model_v20261013-1622.xlsx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RWV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RWV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RWV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RWV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RWV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0ba5cbb752095e0153b794b439e23d5ddb05b90"/>
    <w:p>
      <w:pPr>
        <w:pStyle w:val="Heading1"/>
      </w:pPr>
      <w:r>
        <w:t xml:space="preserve">CRWV CoreWeave, Inc. — Equity Deep Dive (Professional English) v20261013-1622</w:t>
      </w:r>
    </w:p>
    <w:p>
      <w:pPr>
        <w:pStyle w:val="BlockText"/>
      </w:pPr>
      <w:r>
        <w:t xml:space="preserve">Data as of 2026-10-13 16:22 SGT | Price $80.26 | Mkt cap 44.3 bn USD | Reporting currency USD | Not investment advice.</w:t>
      </w:r>
    </w:p>
    <w:bookmarkStart w:id="39" w:name="investment-thesis-hypothesis"/>
    <w:p>
      <w:pPr>
        <w:pStyle w:val="Heading2"/>
      </w:pPr>
      <w:r>
        <w:t xml:space="preserve">1. Investment thesis (HYPOTHESIS)</w:t>
      </w:r>
    </w:p>
    <w:p>
      <w:pPr>
        <w:pStyle w:val="FirstParagraph"/>
      </w:pPr>
      <w:r>
        <w:t xml:space="preserve">CoreWeave trades high leverage for fast AI-compute rental growth; the crux is backlog conversion, financing cost and GPU economic life. Deeply negative FCF is a feature of the model.</w:t>
      </w:r>
    </w:p>
    <w:p>
      <w:pPr>
        <w:pStyle w:val="Compact"/>
        <w:numPr>
          <w:ilvl w:val="0"/>
          <w:numId w:val="1009"/>
        </w:numPr>
      </w:pPr>
      <w:r>
        <w:rPr>
          <w:b/>
          <w:bCs/>
        </w:rPr>
        <w:t xml:space="preserve">Bull drivers</w:t>
      </w:r>
      <w:r>
        <w:t xml:space="preserve">: Backlog converts on time; financing spreads tighten; contract </w:t>
      </w:r>
      <w:r>
        <w:rPr>
          <w:rFonts w:hint="eastAsia"/>
        </w:rPr>
        <w:t xml:space="preserve">diversification｜积压订单按期转化；融资利差收窄；客户分散</w:t>
      </w:r>
    </w:p>
    <w:p>
      <w:pPr>
        <w:pStyle w:val="Compact"/>
        <w:numPr>
          <w:ilvl w:val="0"/>
          <w:numId w:val="1009"/>
        </w:numPr>
      </w:pPr>
      <w:r>
        <w:rPr>
          <w:b/>
          <w:bCs/>
        </w:rPr>
        <w:t xml:space="preserve">Bear drivers</w:t>
      </w:r>
      <w:r>
        <w:t xml:space="preserve">: Delays in data-center delivery, refinancing stress, GPU price </w:t>
      </w:r>
      <w:r>
        <w:rPr>
          <w:rFonts w:hint="eastAsia"/>
        </w:rPr>
        <w:t xml:space="preserve">deflation｜交付延期、再融资压力、GPU租赁价格通缩</w:t>
      </w:r>
    </w:p>
    <w:p>
      <w:pPr>
        <w:pStyle w:val="Compact"/>
        <w:numPr>
          <w:ilvl w:val="0"/>
          <w:numId w:val="1009"/>
        </w:numPr>
      </w:pPr>
      <w:r>
        <w:rPr>
          <w:b/>
          <w:bCs/>
        </w:rPr>
        <w:t xml:space="preserve">Falsifiers</w:t>
      </w:r>
      <w:r>
        <w:t xml:space="preserve">: Active power MW below plan; interest expense outruns EBITDA growth; H100/B200 rental prices fall </w:t>
      </w:r>
      <w:r>
        <w:rPr>
          <w:rFonts w:hint="eastAsia"/>
        </w:rPr>
        <w:t xml:space="preserve">sharply｜在运营电力低于计划；利息增速超EBITDA；GPU租价暴跌</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neocloud GPU cloud </w:t>
      </w:r>
      <w:r>
        <w:rPr>
          <w:rFonts w:hint="eastAsia"/>
        </w:rPr>
        <w:t xml:space="preserve">AI新云</w:t>
      </w:r>
      <w:r>
        <w:t xml:space="preserve"> | Segments: GPU cloud services </w:t>
      </w:r>
      <w:r>
        <w:rPr>
          <w:rFonts w:hint="eastAsia"/>
        </w:rPr>
        <w:t xml:space="preserve">GPU云服务</w:t>
      </w:r>
    </w:p>
    <w:p>
      <w:pPr>
        <w:pStyle w:val="Compact"/>
        <w:numPr>
          <w:ilvl w:val="0"/>
          <w:numId w:val="1010"/>
        </w:numPr>
      </w:pPr>
      <w:r>
        <w:t xml:space="preserve">Business description (DATA): CoreWeave, Inc. operates as a cloud infrastructure technology company in the United States. The company offers CoreWeave Cloud platform that comprises proprietary software and cloud services that deliver the automation and efficiency needed to manage complex artificial intelligence (AI) infrastructure at scale. It also offers data and storage solutions, such as Local Object Transport Accelerator; infrastructure control solutions, including CoreWeave Kubernetes service; mission control services, including node, rack, and fleet lifecycle management; model and agent development tools comprising Weights &amp; Biases, an AI developer platform; and runtime acceleration. In addition, the company offers graphics processing unit compute, CPU compute, networking services, managed services, and virtual and bare metal servers. Its services also include visual effects rendering, machine learning, pixel s</w:t>
      </w:r>
    </w:p>
    <w:p>
      <w:pPr>
        <w:pStyle w:val="Compact"/>
        <w:numPr>
          <w:ilvl w:val="0"/>
          <w:numId w:val="1010"/>
        </w:numPr>
      </w:pPr>
      <w:r>
        <w:t xml:space="preserve">Customers: Microsoft, OpenAI, Meta, Google, AI </w:t>
      </w:r>
      <w:r>
        <w:rPr>
          <w:rFonts w:hint="eastAsia"/>
        </w:rPr>
        <w:t xml:space="preserve">labs｜微软、OpenAI、Meta、谷歌、AI实验室</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NVDA (GPUs), Dell/SMCI (servers), data-center landlords (Core Scientific, Galaxy), </w:t>
      </w:r>
      <w:r>
        <w:rPr>
          <w:rFonts w:hint="eastAsia"/>
        </w:rPr>
        <w:t xml:space="preserve">lenders｜NVDA、服务器厂、数据中心房东、贷款方</w:t>
      </w:r>
    </w:p>
    <w:p>
      <w:pPr>
        <w:pStyle w:val="Compact"/>
        <w:numPr>
          <w:ilvl w:val="0"/>
          <w:numId w:val="1011"/>
        </w:numPr>
      </w:pPr>
      <w:r>
        <w:t xml:space="preserve">Competitors: Hyperscalers, Nebius, Lambda, Oracle </w:t>
      </w:r>
      <w:r>
        <w:rPr>
          <w:rFonts w:hint="eastAsia"/>
        </w:rPr>
        <w:t xml:space="preserve">OCI｜云厂、Nebius、Lambda、甲骨文</w:t>
      </w:r>
    </w:p>
    <w:p>
      <w:pPr>
        <w:pStyle w:val="Compact"/>
        <w:numPr>
          <w:ilvl w:val="0"/>
          <w:numId w:val="1011"/>
        </w:numPr>
      </w:pPr>
      <w:r>
        <w:t xml:space="preserve">Bottlenecks/regulation: Powered shell availability, debt financing cost, GPU depreciation </w:t>
      </w:r>
      <w:r>
        <w:rPr>
          <w:rFonts w:hint="eastAsia"/>
        </w:rPr>
        <w:t xml:space="preserve">life｜带电机房、债务融资成本、GPU折旧年限</w:t>
      </w:r>
    </w:p>
    <w:p>
      <w:pPr>
        <w:pStyle w:val="Compact"/>
        <w:numPr>
          <w:ilvl w:val="0"/>
          <w:numId w:val="1011"/>
        </w:numPr>
      </w:pPr>
      <w:r>
        <w:t xml:space="preserve">KPIs: Backlog/RPO, active MW, contracted MW, interest expense, </w:t>
      </w:r>
      <w:r>
        <w:rPr>
          <w:rFonts w:hint="eastAsia"/>
        </w:rPr>
        <w:t xml:space="preserve">capex｜积压订单、在运营MW、签约MW、利息费用、Capex</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2.6 bn USD</w:t>
            </w:r>
          </w:p>
        </w:tc>
        <w:tc>
          <w:tcPr/>
          <w:p>
            <w:pPr>
              <w:pStyle w:val="Compact"/>
            </w:pPr>
            <w:r>
              <w:t xml:space="preserve">1.7 bn USD</w:t>
            </w:r>
          </w:p>
        </w:tc>
        <w:tc>
          <w:tcPr/>
          <w:p>
            <w:pPr>
              <w:pStyle w:val="Compact"/>
            </w:pPr>
            <w:r>
              <w:t xml:space="preserve">-49.0 mn USD</w:t>
            </w:r>
          </w:p>
        </w:tc>
        <w:tc>
          <w:tcPr/>
          <w:p>
            <w:pPr>
              <w:pStyle w:val="Compact"/>
            </w:pPr>
            <w:r>
              <w:t xml:space="preserve">-0.6 bn USD</w:t>
            </w:r>
          </w:p>
        </w:tc>
        <w:tc>
          <w:tcPr/>
          <w:p>
            <w:pPr>
              <w:pStyle w:val="Compact"/>
            </w:pPr>
            <w:r>
              <w:t xml:space="preserve">-5.7 bn USD</w:t>
            </w:r>
          </w:p>
        </w:tc>
        <w:tc>
          <w:tcPr/>
          <w:p>
            <w:pPr>
              <w:pStyle w:val="Compact"/>
            </w:pPr>
            <w:r>
              <w:t xml:space="preserve">-1.9%</w:t>
            </w:r>
          </w:p>
        </w:tc>
      </w:tr>
      <w:tr>
        <w:tc>
          <w:tcPr/>
          <w:p>
            <w:pPr>
              <w:pStyle w:val="Compact"/>
            </w:pPr>
            <w:r>
              <w:t xml:space="preserve">2026-03-31</w:t>
            </w:r>
          </w:p>
        </w:tc>
        <w:tc>
          <w:tcPr/>
          <w:p>
            <w:pPr>
              <w:pStyle w:val="Compact"/>
            </w:pPr>
            <w:r>
              <w:t xml:space="preserve">2.1 bn USD</w:t>
            </w:r>
          </w:p>
        </w:tc>
        <w:tc>
          <w:tcPr/>
          <w:p>
            <w:pPr>
              <w:pStyle w:val="Compact"/>
            </w:pPr>
            <w:r>
              <w:t xml:space="preserve">1.4 bn USD</w:t>
            </w:r>
          </w:p>
        </w:tc>
        <w:tc>
          <w:tcPr/>
          <w:p>
            <w:pPr>
              <w:pStyle w:val="Compact"/>
            </w:pPr>
            <w:r>
              <w:t xml:space="preserve">-0.1 bn USD</w:t>
            </w:r>
          </w:p>
        </w:tc>
        <w:tc>
          <w:tcPr/>
          <w:p>
            <w:pPr>
              <w:pStyle w:val="Compact"/>
            </w:pPr>
            <w:r>
              <w:t xml:space="preserve">-0.7 bn USD</w:t>
            </w:r>
          </w:p>
        </w:tc>
        <w:tc>
          <w:tcPr/>
          <w:p>
            <w:pPr>
              <w:pStyle w:val="Compact"/>
            </w:pPr>
            <w:r>
              <w:t xml:space="preserve">-4.7 bn USD</w:t>
            </w:r>
          </w:p>
        </w:tc>
        <w:tc>
          <w:tcPr/>
          <w:p>
            <w:pPr>
              <w:pStyle w:val="Compact"/>
            </w:pPr>
            <w:r>
              <w:t xml:space="preserve">-6.9%</w:t>
            </w:r>
          </w:p>
        </w:tc>
      </w:tr>
      <w:tr>
        <w:tc>
          <w:tcPr/>
          <w:p>
            <w:pPr>
              <w:pStyle w:val="Compact"/>
            </w:pPr>
            <w:r>
              <w:t xml:space="preserve">2025-12-31</w:t>
            </w:r>
          </w:p>
        </w:tc>
        <w:tc>
          <w:tcPr/>
          <w:p>
            <w:pPr>
              <w:pStyle w:val="Compact"/>
            </w:pPr>
            <w:r>
              <w:t xml:space="preserve">1.6 bn USD</w:t>
            </w:r>
          </w:p>
        </w:tc>
        <w:tc>
          <w:tcPr/>
          <w:p>
            <w:pPr>
              <w:pStyle w:val="Compact"/>
            </w:pPr>
            <w:r>
              <w:t xml:space="preserve">1.1 bn USD</w:t>
            </w:r>
          </w:p>
        </w:tc>
        <w:tc>
          <w:tcPr/>
          <w:p>
            <w:pPr>
              <w:pStyle w:val="Compact"/>
            </w:pPr>
            <w:r>
              <w:t xml:space="preserve">-89.6 mn USD</w:t>
            </w:r>
          </w:p>
        </w:tc>
        <w:tc>
          <w:tcPr/>
          <w:p>
            <w:pPr>
              <w:pStyle w:val="Compact"/>
            </w:pPr>
            <w:r>
              <w:t xml:space="preserve">-0.5 bn USD</w:t>
            </w:r>
          </w:p>
        </w:tc>
        <w:tc>
          <w:tcPr/>
          <w:p>
            <w:pPr>
              <w:pStyle w:val="Compact"/>
            </w:pPr>
            <w:r>
              <w:t xml:space="preserve">-2.5 bn USD</w:t>
            </w:r>
          </w:p>
        </w:tc>
        <w:tc>
          <w:tcPr/>
          <w:p>
            <w:pPr>
              <w:pStyle w:val="Compact"/>
            </w:pPr>
            <w:r>
              <w:t xml:space="preserve">-5.7%</w:t>
            </w:r>
          </w:p>
        </w:tc>
      </w:tr>
      <w:tr>
        <w:tc>
          <w:tcPr/>
          <w:p>
            <w:pPr>
              <w:pStyle w:val="Compact"/>
            </w:pPr>
            <w:r>
              <w:t xml:space="preserve">2025-09-30</w:t>
            </w:r>
          </w:p>
        </w:tc>
        <w:tc>
          <w:tcPr/>
          <w:p>
            <w:pPr>
              <w:pStyle w:val="Compact"/>
            </w:pPr>
            <w:r>
              <w:t xml:space="preserve">1.4 bn USD</w:t>
            </w:r>
          </w:p>
        </w:tc>
        <w:tc>
          <w:tcPr/>
          <w:p>
            <w:pPr>
              <w:pStyle w:val="Compact"/>
            </w:pPr>
            <w:r>
              <w:t xml:space="preserve">1.0 bn USD</w:t>
            </w:r>
          </w:p>
        </w:tc>
        <w:tc>
          <w:tcPr/>
          <w:p>
            <w:pPr>
              <w:pStyle w:val="Compact"/>
            </w:pPr>
            <w:r>
              <w:t xml:space="preserve">51.9 mn USD</w:t>
            </w:r>
          </w:p>
        </w:tc>
        <w:tc>
          <w:tcPr/>
          <w:p>
            <w:pPr>
              <w:pStyle w:val="Compact"/>
            </w:pPr>
            <w:r>
              <w:t xml:space="preserve">-0.1 bn USD</w:t>
            </w:r>
          </w:p>
        </w:tc>
        <w:tc>
          <w:tcPr/>
          <w:p>
            <w:pPr>
              <w:pStyle w:val="Compact"/>
            </w:pPr>
            <w:r>
              <w:t xml:space="preserve">-0.7 bn USD</w:t>
            </w:r>
          </w:p>
        </w:tc>
        <w:tc>
          <w:tcPr/>
          <w:p>
            <w:pPr>
              <w:pStyle w:val="Compact"/>
            </w:pPr>
            <w:r>
              <w:t xml:space="preserve">3.8%</w:t>
            </w:r>
          </w:p>
        </w:tc>
      </w:tr>
      <w:tr>
        <w:tc>
          <w:tcPr/>
          <w:p>
            <w:pPr>
              <w:pStyle w:val="Compact"/>
            </w:pPr>
            <w:r>
              <w:t xml:space="preserve">2025-06-30</w:t>
            </w:r>
          </w:p>
        </w:tc>
        <w:tc>
          <w:tcPr/>
          <w:p>
            <w:pPr>
              <w:pStyle w:val="Compact"/>
            </w:pPr>
            <w:r>
              <w:t xml:space="preserve">1.2 bn USD</w:t>
            </w:r>
          </w:p>
        </w:tc>
        <w:tc>
          <w:tcPr/>
          <w:p>
            <w:pPr>
              <w:pStyle w:val="Compact"/>
            </w:pPr>
            <w:r>
              <w:t xml:space="preserve">0.9 bn USD</w:t>
            </w:r>
          </w:p>
        </w:tc>
        <w:tc>
          <w:tcPr/>
          <w:p>
            <w:pPr>
              <w:pStyle w:val="Compact"/>
            </w:pPr>
            <w:r>
              <w:t xml:space="preserve">19.0 mn USD</w:t>
            </w:r>
          </w:p>
        </w:tc>
        <w:tc>
          <w:tcPr/>
          <w:p>
            <w:pPr>
              <w:pStyle w:val="Compact"/>
            </w:pPr>
            <w:r>
              <w:t xml:space="preserve">-0.3 bn USD</w:t>
            </w:r>
          </w:p>
        </w:tc>
        <w:tc>
          <w:tcPr/>
          <w:p>
            <w:pPr>
              <w:pStyle w:val="Compact"/>
            </w:pPr>
            <w:r>
              <w:t xml:space="preserve">-2.7 bn USD</w:t>
            </w:r>
          </w:p>
        </w:tc>
        <w:tc>
          <w:tcPr/>
          <w:p>
            <w:pPr>
              <w:pStyle w:val="Compact"/>
            </w:pPr>
            <w:r>
              <w:t xml:space="preserve">1.6%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5.5 bn USD; debt 51.6 bn USD; TTM FCF -13.7 bn USD (FCF margin -50.0%).</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-0.22</w:t>
            </w:r>
          </w:p>
        </w:tc>
        <w:tc>
          <w:tcPr/>
          <w:p>
            <w:pPr>
              <w:pStyle w:val="Compact"/>
            </w:pPr>
            <w:r>
              <w:t xml:space="preserve">-0.48219</w:t>
            </w:r>
          </w:p>
        </w:tc>
        <w:tc>
          <w:tcPr/>
          <w:p>
            <w:pPr>
              <w:pStyle w:val="Compact"/>
            </w:pPr>
            <w:r>
              <w:t xml:space="preserve">0.5437</w:t>
            </w:r>
          </w:p>
        </w:tc>
      </w:tr>
      <w:tr>
        <w:tc>
          <w:tcPr/>
          <w:p>
            <w:pPr>
              <w:pStyle w:val="Compact"/>
            </w:pPr>
            <w:r>
              <w:t xml:space="preserve">2025-12-31</w:t>
            </w:r>
          </w:p>
        </w:tc>
        <w:tc>
          <w:tcPr/>
          <w:p>
            <w:pPr>
              <w:pStyle w:val="Compact"/>
            </w:pPr>
            <w:r>
              <w:t xml:space="preserve">-0.89</w:t>
            </w:r>
          </w:p>
        </w:tc>
        <w:tc>
          <w:tcPr/>
          <w:p>
            <w:pPr>
              <w:pStyle w:val="Compact"/>
            </w:pPr>
            <w:r>
              <w:t xml:space="preserve">-0.68481</w:t>
            </w:r>
          </w:p>
        </w:tc>
        <w:tc>
          <w:tcPr/>
          <w:p>
            <w:pPr>
              <w:pStyle w:val="Compact"/>
            </w:pPr>
            <w:r>
              <w:t xml:space="preserve">-0.2996</w:t>
            </w:r>
          </w:p>
        </w:tc>
      </w:tr>
      <w:tr>
        <w:tc>
          <w:tcPr/>
          <w:p>
            <w:pPr>
              <w:pStyle w:val="Compact"/>
            </w:pPr>
            <w:r>
              <w:t xml:space="preserve">2026-03-31</w:t>
            </w:r>
          </w:p>
        </w:tc>
        <w:tc>
          <w:tcPr/>
          <w:p>
            <w:pPr>
              <w:pStyle w:val="Compact"/>
            </w:pPr>
            <w:r>
              <w:t xml:space="preserve">-1.4</w:t>
            </w:r>
          </w:p>
        </w:tc>
        <w:tc>
          <w:tcPr/>
          <w:p>
            <w:pPr>
              <w:pStyle w:val="Compact"/>
            </w:pPr>
            <w:r>
              <w:t xml:space="preserve">-1.2042</w:t>
            </w:r>
          </w:p>
        </w:tc>
        <w:tc>
          <w:tcPr/>
          <w:p>
            <w:pPr>
              <w:pStyle w:val="Compact"/>
            </w:pPr>
            <w:r>
              <w:t xml:space="preserve">-0.1626</w:t>
            </w:r>
          </w:p>
        </w:tc>
      </w:tr>
      <w:tr>
        <w:tc>
          <w:tcPr/>
          <w:p>
            <w:pPr>
              <w:pStyle w:val="Compact"/>
            </w:pPr>
            <w:r>
              <w:t xml:space="preserve">2026-06-30</w:t>
            </w:r>
          </w:p>
        </w:tc>
        <w:tc>
          <w:tcPr/>
          <w:p>
            <w:pPr>
              <w:pStyle w:val="Compact"/>
            </w:pPr>
            <w:r>
              <w:t xml:space="preserve">-1.14</w:t>
            </w:r>
          </w:p>
        </w:tc>
        <w:tc>
          <w:tcPr/>
          <w:p>
            <w:pPr>
              <w:pStyle w:val="Compact"/>
            </w:pPr>
            <w:r>
              <w:t xml:space="preserve">-1.46997</w:t>
            </w:r>
          </w:p>
        </w:tc>
        <w:tc>
          <w:tcPr/>
          <w:p>
            <w:pPr>
              <w:pStyle w:val="Compact"/>
            </w:pPr>
            <w:r>
              <w:t xml:space="preserve">0.2245</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2026-11-12</w:t>
      </w:r>
      <w:r>
        <w:t xml:space="preserve">; current-quarter EPS consensus -1.52697 (18 analysts); revenue consensus 3.5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$-190.84</w:t>
            </w:r>
          </w:p>
        </w:tc>
        <w:tc>
          <w:tcPr/>
          <w:p>
            <w:pPr>
              <w:pStyle w:val="Compact"/>
            </w:pPr>
            <w:r>
              <w:t xml:space="preserve">-337.8%</w:t>
            </w:r>
          </w:p>
        </w:tc>
      </w:tr>
      <w:tr>
        <w:tc>
          <w:tcPr/>
          <w:p>
            <w:pPr>
              <w:pStyle w:val="Compact"/>
            </w:pPr>
            <w:r>
              <w:t xml:space="preserve">2Q</w:t>
            </w:r>
          </w:p>
        </w:tc>
        <w:tc>
          <w:tcPr/>
          <w:p>
            <w:pPr>
              <w:pStyle w:val="Compact"/>
            </w:pPr>
            <w:r>
              <w:t xml:space="preserve">Base</w:t>
            </w:r>
          </w:p>
        </w:tc>
        <w:tc>
          <w:tcPr/>
          <w:p>
            <w:pPr>
              <w:pStyle w:val="Compact"/>
            </w:pPr>
            <w:r>
              <w:t xml:space="preserve">$-359.83</w:t>
            </w:r>
          </w:p>
        </w:tc>
        <w:tc>
          <w:tcPr/>
          <w:p>
            <w:pPr>
              <w:pStyle w:val="Compact"/>
            </w:pPr>
            <w:r>
              <w:t xml:space="preserve">-548.3%</w:t>
            </w:r>
          </w:p>
        </w:tc>
      </w:tr>
      <w:tr>
        <w:tc>
          <w:tcPr/>
          <w:p>
            <w:pPr>
              <w:pStyle w:val="Compact"/>
            </w:pPr>
            <w:r>
              <w:t xml:space="preserve">2Q</w:t>
            </w:r>
          </w:p>
        </w:tc>
        <w:tc>
          <w:tcPr/>
          <w:p>
            <w:pPr>
              <w:pStyle w:val="Compact"/>
            </w:pPr>
            <w:r>
              <w:t xml:space="preserve">Bull</w:t>
            </w:r>
          </w:p>
        </w:tc>
        <w:tc>
          <w:tcPr/>
          <w:p>
            <w:pPr>
              <w:pStyle w:val="Compact"/>
            </w:pPr>
            <w:r>
              <w:t xml:space="preserve">$-554.35</w:t>
            </w:r>
          </w:p>
        </w:tc>
        <w:tc>
          <w:tcPr/>
          <w:p>
            <w:pPr>
              <w:pStyle w:val="Compact"/>
            </w:pPr>
            <w:r>
              <w:t xml:space="preserve">-790.7%</w:t>
            </w:r>
          </w:p>
        </w:tc>
      </w:tr>
      <w:tr>
        <w:tc>
          <w:tcPr/>
          <w:p>
            <w:pPr>
              <w:pStyle w:val="Compact"/>
            </w:pPr>
            <w:r>
              <w:t xml:space="preserve">4Q</w:t>
            </w:r>
          </w:p>
        </w:tc>
        <w:tc>
          <w:tcPr/>
          <w:p>
            <w:pPr>
              <w:pStyle w:val="Compact"/>
            </w:pPr>
            <w:r>
              <w:t xml:space="preserve">Bear</w:t>
            </w:r>
          </w:p>
        </w:tc>
        <w:tc>
          <w:tcPr/>
          <w:p>
            <w:pPr>
              <w:pStyle w:val="Compact"/>
            </w:pPr>
            <w:r>
              <w:t xml:space="preserve">$-177.94</w:t>
            </w:r>
          </w:p>
        </w:tc>
        <w:tc>
          <w:tcPr/>
          <w:p>
            <w:pPr>
              <w:pStyle w:val="Compact"/>
            </w:pPr>
            <w:r>
              <w:t xml:space="preserve">-321.7%</w:t>
            </w:r>
          </w:p>
        </w:tc>
      </w:tr>
      <w:tr>
        <w:tc>
          <w:tcPr/>
          <w:p>
            <w:pPr>
              <w:pStyle w:val="Compact"/>
            </w:pPr>
            <w:r>
              <w:t xml:space="preserve">4Q</w:t>
            </w:r>
          </w:p>
        </w:tc>
        <w:tc>
          <w:tcPr/>
          <w:p>
            <w:pPr>
              <w:pStyle w:val="Compact"/>
            </w:pPr>
            <w:r>
              <w:t xml:space="preserve">Base</w:t>
            </w:r>
          </w:p>
        </w:tc>
        <w:tc>
          <w:tcPr/>
          <w:p>
            <w:pPr>
              <w:pStyle w:val="Compact"/>
            </w:pPr>
            <w:r>
              <w:t xml:space="preserve">$-370.40</w:t>
            </w:r>
          </w:p>
        </w:tc>
        <w:tc>
          <w:tcPr/>
          <w:p>
            <w:pPr>
              <w:pStyle w:val="Compact"/>
            </w:pPr>
            <w:r>
              <w:t xml:space="preserve">-561.5%</w:t>
            </w:r>
          </w:p>
        </w:tc>
      </w:tr>
      <w:tr>
        <w:tc>
          <w:tcPr/>
          <w:p>
            <w:pPr>
              <w:pStyle w:val="Compact"/>
            </w:pPr>
            <w:r>
              <w:t xml:space="preserve">4Q</w:t>
            </w:r>
          </w:p>
        </w:tc>
        <w:tc>
          <w:tcPr/>
          <w:p>
            <w:pPr>
              <w:pStyle w:val="Compact"/>
            </w:pPr>
            <w:r>
              <w:t xml:space="preserve">Bull</w:t>
            </w:r>
          </w:p>
        </w:tc>
        <w:tc>
          <w:tcPr/>
          <w:p>
            <w:pPr>
              <w:pStyle w:val="Compact"/>
            </w:pPr>
            <w:r>
              <w:t xml:space="preserve">$-604.31</w:t>
            </w:r>
          </w:p>
        </w:tc>
        <w:tc>
          <w:tcPr/>
          <w:p>
            <w:pPr>
              <w:pStyle w:val="Compact"/>
            </w:pPr>
            <w:r>
              <w:t xml:space="preserve">-852.9%</w:t>
            </w:r>
          </w:p>
        </w:tc>
      </w:tr>
      <w:tr>
        <w:tc>
          <w:tcPr/>
          <w:p>
            <w:pPr>
              <w:pStyle w:val="Compact"/>
            </w:pPr>
            <w:r>
              <w:t xml:space="preserve">6Q</w:t>
            </w:r>
          </w:p>
        </w:tc>
        <w:tc>
          <w:tcPr/>
          <w:p>
            <w:pPr>
              <w:pStyle w:val="Compact"/>
            </w:pPr>
            <w:r>
              <w:t xml:space="preserve">Bear</w:t>
            </w:r>
          </w:p>
        </w:tc>
        <w:tc>
          <w:tcPr/>
          <w:p>
            <w:pPr>
              <w:pStyle w:val="Compact"/>
            </w:pPr>
            <w:r>
              <w:t xml:space="preserve">$-160.11</w:t>
            </w:r>
          </w:p>
        </w:tc>
        <w:tc>
          <w:tcPr/>
          <w:p>
            <w:pPr>
              <w:pStyle w:val="Compact"/>
            </w:pPr>
            <w:r>
              <w:t xml:space="preserve">-299.5%</w:t>
            </w:r>
          </w:p>
        </w:tc>
      </w:tr>
      <w:tr>
        <w:tc>
          <w:tcPr/>
          <w:p>
            <w:pPr>
              <w:pStyle w:val="Compact"/>
            </w:pPr>
            <w:r>
              <w:t xml:space="preserve">6Q</w:t>
            </w:r>
          </w:p>
        </w:tc>
        <w:tc>
          <w:tcPr/>
          <w:p>
            <w:pPr>
              <w:pStyle w:val="Compact"/>
            </w:pPr>
            <w:r>
              <w:t xml:space="preserve">Base</w:t>
            </w:r>
          </w:p>
        </w:tc>
        <w:tc>
          <w:tcPr/>
          <w:p>
            <w:pPr>
              <w:pStyle w:val="Compact"/>
            </w:pPr>
            <w:r>
              <w:t xml:space="preserve">$-359.16</w:t>
            </w:r>
          </w:p>
        </w:tc>
        <w:tc>
          <w:tcPr/>
          <w:p>
            <w:pPr>
              <w:pStyle w:val="Compact"/>
            </w:pPr>
            <w:r>
              <w:t xml:space="preserve">-547.5%</w:t>
            </w:r>
          </w:p>
        </w:tc>
      </w:tr>
      <w:tr>
        <w:tc>
          <w:tcPr/>
          <w:p>
            <w:pPr>
              <w:pStyle w:val="Compact"/>
            </w:pPr>
            <w:r>
              <w:t xml:space="preserve">6Q</w:t>
            </w:r>
          </w:p>
        </w:tc>
        <w:tc>
          <w:tcPr/>
          <w:p>
            <w:pPr>
              <w:pStyle w:val="Compact"/>
            </w:pPr>
            <w:r>
              <w:t xml:space="preserve">Bull</w:t>
            </w:r>
          </w:p>
        </w:tc>
        <w:tc>
          <w:tcPr/>
          <w:p>
            <w:pPr>
              <w:pStyle w:val="Compact"/>
            </w:pPr>
            <w:r>
              <w:t xml:space="preserve">$-610.68</w:t>
            </w:r>
          </w:p>
        </w:tc>
        <w:tc>
          <w:tcPr/>
          <w:p>
            <w:pPr>
              <w:pStyle w:val="Compact"/>
            </w:pPr>
            <w:r>
              <w:t xml:space="preserve">-860.9%</w:t>
            </w:r>
          </w:p>
        </w:tc>
      </w:tr>
      <w:tr>
        <w:tc>
          <w:tcPr/>
          <w:p>
            <w:pPr>
              <w:pStyle w:val="Compact"/>
            </w:pPr>
            <w:r>
              <w:t xml:space="preserve">8Q</w:t>
            </w:r>
          </w:p>
        </w:tc>
        <w:tc>
          <w:tcPr/>
          <w:p>
            <w:pPr>
              <w:pStyle w:val="Compact"/>
            </w:pPr>
            <w:r>
              <w:t xml:space="preserve">Bear</w:t>
            </w:r>
          </w:p>
        </w:tc>
        <w:tc>
          <w:tcPr/>
          <w:p>
            <w:pPr>
              <w:pStyle w:val="Compact"/>
            </w:pPr>
            <w:r>
              <w:t xml:space="preserve">$-135.93</w:t>
            </w:r>
          </w:p>
        </w:tc>
        <w:tc>
          <w:tcPr/>
          <w:p>
            <w:pPr>
              <w:pStyle w:val="Compact"/>
            </w:pPr>
            <w:r>
              <w:t xml:space="preserve">-269.4%</w:t>
            </w:r>
          </w:p>
        </w:tc>
      </w:tr>
      <w:tr>
        <w:tc>
          <w:tcPr/>
          <w:p>
            <w:pPr>
              <w:pStyle w:val="Compact"/>
            </w:pPr>
            <w:r>
              <w:t xml:space="preserve">8Q</w:t>
            </w:r>
          </w:p>
        </w:tc>
        <w:tc>
          <w:tcPr/>
          <w:p>
            <w:pPr>
              <w:pStyle w:val="Compact"/>
            </w:pPr>
            <w:r>
              <w:t xml:space="preserve">Base</w:t>
            </w:r>
          </w:p>
        </w:tc>
        <w:tc>
          <w:tcPr/>
          <w:p>
            <w:pPr>
              <w:pStyle w:val="Compact"/>
            </w:pPr>
            <w:r>
              <w:t xml:space="preserve">$-309.49</w:t>
            </w:r>
          </w:p>
        </w:tc>
        <w:tc>
          <w:tcPr/>
          <w:p>
            <w:pPr>
              <w:pStyle w:val="Compact"/>
            </w:pPr>
            <w:r>
              <w:t xml:space="preserve">-485.6%</w:t>
            </w:r>
          </w:p>
        </w:tc>
      </w:tr>
      <w:tr>
        <w:tc>
          <w:tcPr/>
          <w:p>
            <w:pPr>
              <w:pStyle w:val="Compact"/>
            </w:pPr>
            <w:r>
              <w:t xml:space="preserve">8Q</w:t>
            </w:r>
          </w:p>
        </w:tc>
        <w:tc>
          <w:tcPr/>
          <w:p>
            <w:pPr>
              <w:pStyle w:val="Compact"/>
            </w:pPr>
            <w:r>
              <w:t xml:space="preserve">Bull</w:t>
            </w:r>
          </w:p>
        </w:tc>
        <w:tc>
          <w:tcPr/>
          <w:p>
            <w:pPr>
              <w:pStyle w:val="Compact"/>
            </w:pPr>
            <w:r>
              <w:t xml:space="preserve">$-524.71</w:t>
            </w:r>
          </w:p>
        </w:tc>
        <w:tc>
          <w:tcPr/>
          <w:p>
            <w:pPr>
              <w:pStyle w:val="Compact"/>
            </w:pPr>
            <w:r>
              <w:t xml:space="preserve">-753.8%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50.0%</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$-21.45</w:t>
            </w:r>
          </w:p>
        </w:tc>
        <w:tc>
          <w:tcPr/>
          <w:p>
            <w:pPr>
              <w:pStyle w:val="Compact"/>
            </w:pPr>
            <w:r>
              <w:t xml:space="preserve">-126.7%</w:t>
            </w:r>
          </w:p>
        </w:tc>
      </w:tr>
      <w:tr>
        <w:tc>
          <w:tcPr/>
          <w:p>
            <w:pPr>
              <w:pStyle w:val="Compact"/>
            </w:pPr>
            <w:r>
              <w:t xml:space="preserve">Base</w:t>
            </w:r>
          </w:p>
        </w:tc>
        <w:tc>
          <w:tcPr/>
          <w:p>
            <w:pPr>
              <w:pStyle w:val="Compact"/>
            </w:pPr>
            <w:r>
              <w:t xml:space="preserve">100.0%</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$496.78</w:t>
            </w:r>
          </w:p>
        </w:tc>
        <w:tc>
          <w:tcPr/>
          <w:p>
            <w:pPr>
              <w:pStyle w:val="Compact"/>
            </w:pPr>
            <w:r>
              <w:t xml:space="preserve">519.0%</w:t>
            </w:r>
          </w:p>
        </w:tc>
      </w:tr>
      <w:tr>
        <w:tc>
          <w:tcPr/>
          <w:p>
            <w:pPr>
              <w:pStyle w:val="Compact"/>
            </w:pPr>
            <w:r>
              <w:t xml:space="preserve">Bull</w:t>
            </w:r>
          </w:p>
        </w:tc>
        <w:tc>
          <w:tcPr/>
          <w:p>
            <w:pPr>
              <w:pStyle w:val="Compact"/>
            </w:pPr>
            <w:r>
              <w:t xml:space="preserve">130.0%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$1,736.11</w:t>
            </w:r>
          </w:p>
        </w:tc>
        <w:tc>
          <w:tcPr/>
          <w:p>
            <w:pPr>
              <w:pStyle w:val="Compact"/>
            </w:pPr>
            <w:r>
              <w:t xml:space="preserve">2063.1%</w:t>
            </w:r>
          </w:p>
        </w:tc>
      </w:tr>
    </w:tbl>
    <w:p>
      <w:pPr>
        <w:pStyle w:val="BodyText"/>
      </w:pPr>
      <w:r>
        <w:t xml:space="preserve">Probability-weighted value</w:t>
      </w:r>
      <w:r>
        <w:t xml:space="preserve"> </w:t>
      </w:r>
      <w:r>
        <w:rPr>
          <w:b/>
          <w:bCs/>
        </w:rPr>
        <w:t xml:space="preserve">$677.06</w:t>
      </w:r>
      <w:r>
        <w:t xml:space="preserve"> </w:t>
      </w:r>
      <w:r>
        <w:t xml:space="preserve">(743.6%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320.1 bn USD; terminal share 71.1%.</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61.6%</w:t>
      </w:r>
      <w:r>
        <w:t xml:space="preserve"> </w:t>
      </w:r>
      <w:r>
        <w:t xml:space="preserve">vs consensus FY+1 100.0%.</w:t>
      </w:r>
    </w:p>
    <w:p>
      <w:pPr>
        <w:pStyle w:val="Compact"/>
        <w:numPr>
          <w:ilvl w:val="0"/>
          <w:numId w:val="1013"/>
        </w:numPr>
      </w:pPr>
      <w:r>
        <w:t xml:space="preserve">WACC (CAPM) = rf 5.2% + β 1.30 × ERP 5.0% = 11.7%.</w:t>
      </w:r>
    </w:p>
    <w:p>
      <w:pPr>
        <w:pStyle w:val="Compact"/>
        <w:numPr>
          <w:ilvl w:val="0"/>
          <w:numId w:val="1013"/>
        </w:numPr>
      </w:pPr>
      <w:r>
        <w:t xml:space="preserve">SOTP segments: GPU cloud services </w:t>
      </w:r>
      <w:r>
        <w:rPr>
          <w:rFonts w:hint="eastAsia"/>
        </w:rPr>
        <w:t xml:space="preserve">GPU云服务</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Delays in data-center delivery, refinancing stress, GPU price </w:t>
      </w:r>
      <w:r>
        <w:rPr>
          <w:rFonts w:hint="eastAsia"/>
        </w:rPr>
        <w:t xml:space="preserve">deflation｜交付延期、再融资压力、GPU租赁价格通缩</w:t>
      </w:r>
      <w:r>
        <w:t xml:space="preserve"> | Falsifiers: Active power MW below plan; interest expense outruns EBITDA growth; H100/B200 rental prices fall </w:t>
      </w:r>
      <w:r>
        <w:rPr>
          <w:rFonts w:hint="eastAsia"/>
        </w:rPr>
        <w:t xml:space="preserve">sharply｜在运营电力低于计划；利息增速超EBITDA；GPU租价暴跌</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CRWV_model_v20261013-1622.xlsx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2026-10-13T08:24:25Z</dcterms:created>
  <dcterms:modified xsi:type="dcterms:W3CDTF">2026-10-13T08:24:25Z</dcterms:modified>
</cp:coreProperties>
</file>

<file path=docProps/custom.xml><?xml version="1.0" encoding="utf-8"?>
<Properties xmlns="http://schemas.openxmlformats.org/officeDocument/2006/custom-properties" xmlns:vt="http://schemas.openxmlformats.org/officeDocument/2006/docPropsVTypes"/>
</file>