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fb282a4414281fac621b5fb3170050af95778b2"/>
    <w:p>
      <w:pPr>
        <w:pStyle w:val="Heading1"/>
      </w:pPr>
      <w:r>
        <w:t xml:space="preserve">KLAC KLA Corporation — </w:t>
      </w:r>
      <w:r>
        <w:rPr>
          <w:rFonts w:hint="eastAsia"/>
        </w:rPr>
        <w:t xml:space="preserve">个股深度研究</w:t>
      </w:r>
      <w:r>
        <w:t xml:space="preserve"> </w:t>
      </w:r>
      <w:r>
        <w:rPr>
          <w:rFonts w:hint="eastAsia"/>
        </w:rPr>
        <w:t xml:space="preserve">(专业中文版)</w:t>
      </w:r>
      <w:r>
        <w:t xml:space="preserve"> v20261013-1622</w:t>
      </w:r>
    </w:p>
    <w:p>
      <w:pPr>
        <w:pStyle w:val="BlockText"/>
      </w:pPr>
      <w:r>
        <w:rPr>
          <w:rFonts w:hint="eastAsia"/>
        </w:rPr>
        <w:t xml:space="preserve">数据截至</w:t>
      </w:r>
      <w:r>
        <w:t xml:space="preserve"> 2026-10-13 16:22 </w:t>
      </w:r>
      <w:r>
        <w:rPr>
          <w:rFonts w:hint="eastAsia"/>
        </w:rPr>
        <w:t xml:space="preserve">SGT｜价格</w:t>
      </w:r>
      <w:r>
        <w:t xml:space="preserve"> </w:t>
      </w:r>
      <w:r>
        <w:rPr>
          <w:rFonts w:hint="eastAsia"/>
        </w:rPr>
        <w:t xml:space="preserve">$190.12｜市值</w:t>
      </w:r>
      <w:r>
        <w:t xml:space="preserve"> 248.1 bn </w:t>
      </w:r>
      <w:r>
        <w:rPr>
          <w:rFonts w:hint="eastAsia"/>
        </w:rPr>
        <w:t xml:space="preserve">USD｜财报货币</w:t>
      </w:r>
      <w:r>
        <w:t xml:space="preserve"> </w:t>
      </w:r>
      <w:r>
        <w:rPr>
          <w:rFonts w:hint="eastAsia"/>
        </w:rPr>
        <w:t xml:space="preserve">USD｜非投资建议。事实=CONFIRMED/DATA；推断=INFERENCE；假设=ASSUMPTION/HYPOTHESIS。</w:t>
      </w:r>
    </w:p>
    <w:bookmarkStart w:id="9" w:name="投资论点-investment-thesis-hypothesis"/>
    <w:p>
      <w:pPr>
        <w:pStyle w:val="Heading2"/>
      </w:pPr>
      <w:r>
        <w:t xml:space="preserve">1. </w:t>
      </w:r>
      <w:r>
        <w:rPr>
          <w:rFonts w:hint="eastAsia"/>
        </w:rPr>
        <w:t xml:space="preserve">投资论点</w:t>
      </w:r>
      <w:r>
        <w:t xml:space="preserve"> Investment Thesis (HYPOTHESIS)</w:t>
      </w:r>
    </w:p>
    <w:p>
      <w:pPr>
        <w:pStyle w:val="FirstParagraph"/>
      </w:pPr>
      <w:r>
        <w:rPr>
          <w:rFonts w:hint="eastAsia"/>
        </w:rPr>
        <w:t xml:space="preserve">KLA在检测量测几乎寡占，先进制程/HBM/先进封装复杂度提升使检测强度上升；高ROIC、强回购。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多头驱动</w:t>
      </w:r>
      <w:r>
        <w:t xml:space="preserve">: WFE grows with N2/A16 and HBM; packaging inspection </w:t>
      </w:r>
      <w:r>
        <w:rPr>
          <w:rFonts w:hint="eastAsia"/>
        </w:rPr>
        <w:t xml:space="preserve">grows｜WFE随N2与HBM增长；封装检测成长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空头驱动</w:t>
      </w:r>
      <w:r>
        <w:t xml:space="preserve">: China revenue normalization, WFE </w:t>
      </w:r>
      <w:r>
        <w:rPr>
          <w:rFonts w:hint="eastAsia"/>
        </w:rPr>
        <w:t xml:space="preserve">digestion｜中国收入回落、WFE消化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证伪条件</w:t>
      </w:r>
      <w:r>
        <w:rPr>
          <w:b/>
          <w:bCs/>
        </w:rPr>
        <w:t xml:space="preserve"> Falsifiers</w:t>
      </w:r>
      <w:r>
        <w:t xml:space="preserve">: WFE outlook cut; process-control share </w:t>
      </w:r>
      <w:r>
        <w:rPr>
          <w:rFonts w:hint="eastAsia"/>
        </w:rPr>
        <w:t xml:space="preserve">loss｜WFE展望下修；份额流失</w:t>
      </w:r>
    </w:p>
    <w:bookmarkEnd w:id="9"/>
    <w:bookmarkStart w:id="10" w:name="产品客户与收入模式"/>
    <w:p>
      <w:pPr>
        <w:pStyle w:val="Heading2"/>
      </w:pPr>
      <w:r>
        <w:t xml:space="preserve">2. </w:t>
      </w:r>
      <w:r>
        <w:rPr>
          <w:rFonts w:hint="eastAsia"/>
        </w:rPr>
        <w:t xml:space="preserve">产品、客户与收入模式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主题</w:t>
      </w:r>
      <w:r>
        <w:t xml:space="preserve"> Theme: Process control / inspection </w:t>
      </w:r>
      <w:r>
        <w:rPr>
          <w:rFonts w:hint="eastAsia"/>
        </w:rPr>
        <w:t xml:space="preserve">量测检测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业务分部</w:t>
      </w:r>
      <w:r>
        <w:t xml:space="preserve"> Segments: Semiconductor process control </w:t>
      </w:r>
      <w:r>
        <w:rPr>
          <w:rFonts w:hint="eastAsia"/>
        </w:rPr>
        <w:t xml:space="preserve">半导体过程控制；Specialty</w:t>
      </w:r>
      <w:r>
        <w:t xml:space="preserve"> semi process </w:t>
      </w:r>
      <w:r>
        <w:rPr>
          <w:rFonts w:hint="eastAsia"/>
        </w:rPr>
        <w:t xml:space="preserve">特种工艺；PCB</w:t>
      </w:r>
      <w:r>
        <w:t xml:space="preserve"> &amp; component inspection </w:t>
      </w:r>
      <w:r>
        <w:rPr>
          <w:rFonts w:hint="eastAsia"/>
        </w:rPr>
        <w:t xml:space="preserve">PCB检测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公司描述</w:t>
      </w:r>
      <w:r>
        <w:t xml:space="preserve"> (DATA, </w:t>
      </w:r>
      <w:r>
        <w:rPr>
          <w:rFonts w:hint="eastAsia"/>
        </w:rPr>
        <w:t xml:space="preserve">Yahoo/公司申报):</w:t>
      </w:r>
      <w:r>
        <w:t xml:space="preserve"> KLA Corporation, together with its subsidiaries, provides process control and process-enabling solutions for manufacturing wafers, reticles/masks, chemicals/materials, integrated circuits (ICs), packaged ICs, and printed circuit boards. It operates through three segments: Semiconductor Process Control; Specialty Semiconductor Process; and PCB and Component Inspection. The company offers inspection and review tools to identify, locate, characterize, review, and analyze defects on various surfaces of patterned and unpatterned wafers; chemical process control equipment; wired and wireless sensor wafers and reticles; wafer defect inspection, review, and metrology systems; reticle inspection and metrology systems; wafer inspection and metrology systems; semiconductor software solutions; KLA Pro systems; and specialty semiconductor manufacturing, benchtop metrology, surface characterization, m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主要客户:</w:t>
      </w:r>
      <w:r>
        <w:t xml:space="preserve"> TSMC, Samsung, Intel, SK hynix, Micron, Chinese </w:t>
      </w:r>
      <w:r>
        <w:rPr>
          <w:rFonts w:hint="eastAsia"/>
        </w:rPr>
        <w:t xml:space="preserve">fabs｜台积电、三星、英特尔、海力士、美光、中国晶圆厂</w:t>
      </w:r>
    </w:p>
    <w:bookmarkEnd w:id="10"/>
    <w:bookmarkStart w:id="11" w:name="行业竞争监管与供应链-analyst-framework"/>
    <w:p>
      <w:pPr>
        <w:pStyle w:val="Heading2"/>
      </w:pPr>
      <w:r>
        <w:t xml:space="preserve">3. </w:t>
      </w:r>
      <w:r>
        <w:rPr>
          <w:rFonts w:hint="eastAsia"/>
        </w:rPr>
        <w:t xml:space="preserve">行业、竞争、监管与供应链</w:t>
      </w:r>
      <w:r>
        <w:t xml:space="preserve"> (ANALYST FRAMEWORK)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供应商/上游:</w:t>
      </w:r>
      <w:r>
        <w:t xml:space="preserve"> Optics, lasers, precision </w:t>
      </w:r>
      <w:r>
        <w:rPr>
          <w:rFonts w:hint="eastAsia"/>
        </w:rPr>
        <w:t xml:space="preserve">components｜光学、激光、精密部件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竞争者</w:t>
      </w:r>
      <w:r>
        <w:t xml:space="preserve"> </w:t>
      </w:r>
      <w:r>
        <w:rPr>
          <w:rFonts w:hint="eastAsia"/>
        </w:rPr>
        <w:t xml:space="preserve">(含业外):</w:t>
      </w:r>
      <w:r>
        <w:t xml:space="preserve"> AMAT (e-beam), Hitachi High-Tech, Lasertec, Onto, </w:t>
      </w:r>
      <w:r>
        <w:rPr>
          <w:rFonts w:hint="eastAsia"/>
        </w:rPr>
        <w:t xml:space="preserve">Nova｜应材、日立高新、Lasertec、Onto、Nova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瓶颈/监管:</w:t>
      </w:r>
      <w:r>
        <w:t xml:space="preserve"> China export controls, leading-edge capex </w:t>
      </w:r>
      <w:r>
        <w:rPr>
          <w:rFonts w:hint="eastAsia"/>
        </w:rPr>
        <w:t xml:space="preserve">cycle｜对华出口管制、先进制程Capex周期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关键KPI:</w:t>
      </w:r>
      <w:r>
        <w:t xml:space="preserve"> Revenue, GM%, China mix, backlog, </w:t>
      </w:r>
      <w:r>
        <w:rPr>
          <w:rFonts w:hint="eastAsia"/>
        </w:rPr>
        <w:t xml:space="preserve">buybacks｜收入、毛利率、中国占比、积压、回购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零部件现货/合约价:</w:t>
      </w:r>
      <w:r>
        <w:t xml:space="preserve"> </w:t>
      </w:r>
      <w:r>
        <w:rPr>
          <w:rFonts w:hint="eastAsia"/>
        </w:rPr>
        <w:t xml:space="preserve">本版未接入付费价格源(TrendForce/DRAMeXchange等)——标注</w:t>
      </w:r>
      <w:r>
        <w:t xml:space="preserve"> </w:t>
      </w:r>
      <w:r>
        <w:rPr>
          <w:b/>
          <w:bCs/>
        </w:rPr>
        <w:t xml:space="preserve">UNAVAILABLE</w:t>
      </w:r>
      <w:r>
        <w:rPr>
          <w:rFonts w:hint="eastAsia"/>
        </w:rPr>
        <w:t xml:space="preserve">，在KPI监控中以定性方式跟踪。</w:t>
      </w:r>
    </w:p>
    <w:bookmarkEnd w:id="11"/>
    <w:bookmarkStart w:id="12" w:name="历史财务与现金流-confirmed-季度-usd"/>
    <w:p>
      <w:pPr>
        <w:pStyle w:val="Heading2"/>
      </w:pPr>
      <w:r>
        <w:t xml:space="preserve">4. </w:t>
      </w:r>
      <w:r>
        <w:rPr>
          <w:rFonts w:hint="eastAsia"/>
        </w:rPr>
        <w:t xml:space="preserve">历史财务与现金流</w:t>
      </w:r>
      <w:r>
        <w:t xml:space="preserve"> (CONFIRMED, </w:t>
      </w:r>
      <w:r>
        <w:rPr>
          <w:rFonts w:hint="eastAsia"/>
        </w:rPr>
        <w:t xml:space="preserve">季度,</w:t>
      </w:r>
      <w:r>
        <w:t xml:space="preserve">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净利润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3.7 bn USD</w:t>
            </w:r>
          </w:p>
        </w:tc>
        <w:tc>
          <w:tcPr/>
          <w:p>
            <w:pPr>
              <w:pStyle w:val="Compact"/>
            </w:pPr>
            <w:r>
              <w:t xml:space="preserve">2.2 bn USD</w:t>
            </w:r>
          </w:p>
        </w:tc>
        <w:tc>
          <w:tcPr/>
          <w:p>
            <w:pPr>
              <w:pStyle w:val="Compact"/>
            </w:pPr>
            <w:r>
              <w:t xml:space="preserve">1.6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0.8 bn USD</w:t>
            </w:r>
          </w:p>
        </w:tc>
        <w:tc>
          <w:tcPr/>
          <w:p>
            <w:pPr>
              <w:pStyle w:val="Compact"/>
            </w:pPr>
            <w:r>
              <w:t xml:space="preserve">42.5%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3.4 bn USD</w:t>
            </w:r>
          </w:p>
        </w:tc>
        <w:tc>
          <w:tcPr/>
          <w:p>
            <w:pPr>
              <w:pStyle w:val="Compact"/>
            </w:pPr>
            <w:r>
              <w:t xml:space="preserve">2.1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1.2 bn USD</w:t>
            </w:r>
          </w:p>
        </w:tc>
        <w:tc>
          <w:tcPr/>
          <w:p>
            <w:pPr>
              <w:pStyle w:val="Compact"/>
            </w:pPr>
            <w:r>
              <w:t xml:space="preserve">0.6 bn USD</w:t>
            </w:r>
          </w:p>
        </w:tc>
        <w:tc>
          <w:tcPr/>
          <w:p>
            <w:pPr>
              <w:pStyle w:val="Compact"/>
            </w:pPr>
            <w:r>
              <w:t xml:space="preserve">41.2%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3.3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1.3 bn USD</w:t>
            </w:r>
          </w:p>
        </w:tc>
        <w:tc>
          <w:tcPr/>
          <w:p>
            <w:pPr>
              <w:pStyle w:val="Compact"/>
            </w:pPr>
            <w:r>
              <w:t xml:space="preserve">41.3%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3.2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1.3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41.7%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3.2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1.2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42.6%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2025-03-31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资产负债:</w:t>
      </w:r>
      <w:r>
        <w:t xml:space="preserve"> </w:t>
      </w:r>
      <w:r>
        <w:rPr>
          <w:rFonts w:hint="eastAsia"/>
        </w:rPr>
        <w:t xml:space="preserve">现金</w:t>
      </w:r>
      <w:r>
        <w:t xml:space="preserve"> 4.9 bn </w:t>
      </w:r>
      <w:r>
        <w:rPr>
          <w:rFonts w:hint="eastAsia"/>
        </w:rPr>
        <w:t xml:space="preserve">USD；总负债</w:t>
      </w:r>
      <w:r>
        <w:t xml:space="preserve"> 6.2 bn </w:t>
      </w:r>
      <w:r>
        <w:rPr>
          <w:rFonts w:hint="eastAsia"/>
        </w:rPr>
        <w:t xml:space="preserve">USD；净现金</w:t>
      </w:r>
      <w:r>
        <w:t xml:space="preserve"> -1.2 bn USD。TTM FCF 3.8 bn </w:t>
      </w:r>
      <w:r>
        <w:rPr>
          <w:rFonts w:hint="eastAsia"/>
        </w:rPr>
        <w:t xml:space="preserve">USD（FCF率</w:t>
      </w:r>
      <w:r>
        <w:t xml:space="preserve"> </w:t>
      </w:r>
      <w:r>
        <w:rPr>
          <w:rFonts w:hint="eastAsia"/>
        </w:rPr>
        <w:t xml:space="preserve">27.7%）。</w:t>
      </w:r>
    </w:p>
    <w:bookmarkEnd w:id="12"/>
    <w:bookmarkStart w:id="13" w:name="最新财报-实际-vs-一致预期-vs-指引"/>
    <w:p>
      <w:pPr>
        <w:pStyle w:val="Heading2"/>
      </w:pPr>
      <w:r>
        <w:t xml:space="preserve">5. </w:t>
      </w:r>
      <w:r>
        <w:rPr>
          <w:rFonts w:hint="eastAsia"/>
        </w:rPr>
        <w:t xml:space="preserve">最新财报:</w:t>
      </w:r>
      <w:r>
        <w:t xml:space="preserve"> </w:t>
      </w:r>
      <w:r>
        <w:rPr>
          <w:rFonts w:hint="eastAsia"/>
        </w:rPr>
        <w:t xml:space="preserve">实际</w:t>
      </w:r>
      <w:r>
        <w:t xml:space="preserve"> vs </w:t>
      </w:r>
      <w:r>
        <w:rPr>
          <w:rFonts w:hint="eastAsia"/>
        </w:rPr>
        <w:t xml:space="preserve">一致预期</w:t>
      </w:r>
      <w:r>
        <w:t xml:space="preserve"> vs </w:t>
      </w:r>
      <w:r>
        <w:rPr>
          <w:rFonts w:hint="eastAsia"/>
        </w:rPr>
        <w:t xml:space="preserve">指引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EPS一致预期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超预期%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0.881</w:t>
            </w:r>
          </w:p>
        </w:tc>
        <w:tc>
          <w:tcPr/>
          <w:p>
            <w:pPr>
              <w:pStyle w:val="Compact"/>
            </w:pPr>
            <w:r>
              <w:t xml:space="preserve">0.86172</w:t>
            </w:r>
          </w:p>
        </w:tc>
        <w:tc>
          <w:tcPr/>
          <w:p>
            <w:pPr>
              <w:pStyle w:val="Compact"/>
            </w:pPr>
            <w:r>
              <w:t xml:space="preserve">0.0224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  <w:tc>
          <w:tcPr/>
          <w:p>
            <w:pPr>
              <w:pStyle w:val="Compact"/>
            </w:pPr>
            <w:r>
              <w:t xml:space="preserve">0.87978</w:t>
            </w:r>
          </w:p>
        </w:tc>
        <w:tc>
          <w:tcPr/>
          <w:p>
            <w:pPr>
              <w:pStyle w:val="Compact"/>
            </w:pPr>
            <w:r>
              <w:t xml:space="preserve">0.0058999998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0.91703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1.05</w:t>
            </w:r>
          </w:p>
        </w:tc>
        <w:tc>
          <w:tcPr/>
          <w:p>
            <w:pPr>
              <w:pStyle w:val="Compact"/>
            </w:pPr>
            <w:r>
              <w:t xml:space="preserve">0.99866</w:t>
            </w:r>
          </w:p>
        </w:tc>
        <w:tc>
          <w:tcPr/>
          <w:p>
            <w:pPr>
              <w:pStyle w:val="Compact"/>
            </w:pPr>
            <w:r>
              <w:t xml:space="preserve">0.0514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管理层指引</w:t>
      </w:r>
      <w:r>
        <w:t xml:space="preserve"> Guidance: </w:t>
      </w:r>
      <w:r>
        <w:rPr>
          <w:rFonts w:hint="eastAsia"/>
        </w:rPr>
        <w:t xml:space="preserve">自动数据源不含指引——</w:t>
      </w:r>
      <w:r>
        <w:rPr>
          <w:rFonts w:hint="eastAsia"/>
          <w:b/>
          <w:bCs/>
        </w:rPr>
        <w:t xml:space="preserve">UNAVAILABLE（待从公司IR新闻稿录入）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下次财报日</w:t>
      </w:r>
      <w:r>
        <w:t xml:space="preserve"> (Yahoo, TENTATIVE </w:t>
      </w:r>
      <w:r>
        <w:rPr>
          <w:rFonts w:hint="eastAsia"/>
        </w:rPr>
        <w:t xml:space="preserve">直至公司确认):</w:t>
      </w:r>
      <w:r>
        <w:t xml:space="preserve"> </w:t>
      </w:r>
      <w:r>
        <w:rPr>
          <w:b/>
          <w:bCs/>
        </w:rPr>
        <w:t xml:space="preserve">2026-10-29</w:t>
      </w:r>
      <w:r>
        <w:rPr>
          <w:rFonts w:hint="eastAsia"/>
        </w:rPr>
        <w:t xml:space="preserve">；本季EPS一致预期</w:t>
      </w:r>
      <w:r>
        <w:t xml:space="preserve"> </w:t>
      </w:r>
      <w:r>
        <w:rPr>
          <w:rFonts w:hint="eastAsia"/>
        </w:rPr>
        <w:t xml:space="preserve">1.17822（22位分析师）；收入一致预期</w:t>
      </w:r>
      <w:r>
        <w:t xml:space="preserve"> 4.0 bn USD。</w:t>
      </w:r>
    </w:p>
    <w:bookmarkEnd w:id="13"/>
    <w:bookmarkStart w:id="14" w:name="未来2468季度驱动与价格合理性"/>
    <w:p>
      <w:pPr>
        <w:pStyle w:val="Heading2"/>
      </w:pPr>
      <w:r>
        <w:t xml:space="preserve">6. </w:t>
      </w:r>
      <w:r>
        <w:rPr>
          <w:rFonts w:hint="eastAsia"/>
        </w:rPr>
        <w:t xml:space="preserve">未来2/4/6/8季度驱动与价格合理性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期限价格现值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$43.77</w:t>
            </w:r>
          </w:p>
        </w:tc>
        <w:tc>
          <w:tcPr/>
          <w:p>
            <w:pPr>
              <w:pStyle w:val="Compact"/>
            </w:pPr>
            <w:r>
              <w:t xml:space="preserve">-77.0%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$89.51</w:t>
            </w:r>
          </w:p>
        </w:tc>
        <w:tc>
          <w:tcPr/>
          <w:p>
            <w:pPr>
              <w:pStyle w:val="Compact"/>
            </w:pPr>
            <w:r>
              <w:t xml:space="preserve">-52.9%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$141.60</w:t>
            </w:r>
          </w:p>
        </w:tc>
        <w:tc>
          <w:tcPr/>
          <w:p>
            <w:pPr>
              <w:pStyle w:val="Compact"/>
            </w:pPr>
            <w:r>
              <w:t xml:space="preserve">-25.5%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$42.42</w:t>
            </w:r>
          </w:p>
        </w:tc>
        <w:tc>
          <w:tcPr/>
          <w:p>
            <w:pPr>
              <w:pStyle w:val="Compact"/>
            </w:pPr>
            <w:r>
              <w:t xml:space="preserve">-77.7%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$92.86</w:t>
            </w:r>
          </w:p>
        </w:tc>
        <w:tc>
          <w:tcPr/>
          <w:p>
            <w:pPr>
              <w:pStyle w:val="Compact"/>
            </w:pPr>
            <w:r>
              <w:t xml:space="preserve">-51.2%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$152.90</w:t>
            </w:r>
          </w:p>
        </w:tc>
        <w:tc>
          <w:tcPr/>
          <w:p>
            <w:pPr>
              <w:pStyle w:val="Compact"/>
            </w:pPr>
            <w:r>
              <w:t xml:space="preserve">-19.6%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$41.09</w:t>
            </w:r>
          </w:p>
        </w:tc>
        <w:tc>
          <w:tcPr/>
          <w:p>
            <w:pPr>
              <w:pStyle w:val="Compact"/>
            </w:pPr>
            <w:r>
              <w:t xml:space="preserve">-78.4%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$96.32</w:t>
            </w:r>
          </w:p>
        </w:tc>
        <w:tc>
          <w:tcPr/>
          <w:p>
            <w:pPr>
              <w:pStyle w:val="Compact"/>
            </w:pPr>
            <w:r>
              <w:t xml:space="preserve">-49.3%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$164.99</w:t>
            </w:r>
          </w:p>
        </w:tc>
        <w:tc>
          <w:tcPr/>
          <w:p>
            <w:pPr>
              <w:pStyle w:val="Compact"/>
            </w:pPr>
            <w:r>
              <w:t xml:space="preserve">-13.2%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$39.80</w:t>
            </w:r>
          </w:p>
        </w:tc>
        <w:tc>
          <w:tcPr/>
          <w:p>
            <w:pPr>
              <w:pStyle w:val="Compact"/>
            </w:pPr>
            <w:r>
              <w:t xml:space="preserve">-79.1%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$99.90</w:t>
            </w:r>
          </w:p>
        </w:tc>
        <w:tc>
          <w:tcPr/>
          <w:p>
            <w:pPr>
              <w:pStyle w:val="Compact"/>
            </w:pPr>
            <w:r>
              <w:t xml:space="preserve">-47.5%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$177.94</w:t>
            </w:r>
          </w:p>
        </w:tc>
        <w:tc>
          <w:tcPr/>
          <w:p>
            <w:pPr>
              <w:pStyle w:val="Compact"/>
            </w:pPr>
            <w:r>
              <w:t xml:space="preserve">-6.4%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现价隐含的</w:t>
            </w:r>
            <w:r>
              <w:t xml:space="preserve"> EV/NTM-FCF (Base </w:t>
            </w:r>
            <w:r>
              <w:rPr>
                <w:rFonts w:hint="eastAsia"/>
              </w:rPr>
              <w:t xml:space="preserve">路径):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49.8x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45.3x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41.2x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37.5x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解读:</w:t>
      </w:r>
      <w:r>
        <w:t xml:space="preserve"> </w:t>
      </w:r>
      <w:r>
        <w:rPr>
          <w:rFonts w:hint="eastAsia"/>
        </w:rPr>
        <w:t xml:space="preserve">如果8季度后Base情景所需倍数仍远高于25x，说明价格依赖更远期的增长。</w:t>
      </w:r>
    </w:p>
    <w:bookmarkEnd w:id="14"/>
    <w:bookmarkStart w:id="15" w:name="三情景-bear-base-bull-hypothesis"/>
    <w:p>
      <w:pPr>
        <w:pStyle w:val="Heading2"/>
      </w:pPr>
      <w:r>
        <w:t xml:space="preserve">7. </w:t>
      </w:r>
      <w:r>
        <w:rPr>
          <w:rFonts w:hint="eastAsia"/>
        </w:rPr>
        <w:t xml:space="preserve">三情景</w:t>
      </w:r>
      <w:r>
        <w:t xml:space="preserve">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Y1增速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长期FCF率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永续g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每股价值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9.5%</w:t>
            </w:r>
          </w:p>
        </w:tc>
        <w:tc>
          <w:tcPr/>
          <w:p>
            <w:pPr>
              <w:pStyle w:val="Compact"/>
            </w:pPr>
            <w:r>
              <w:t xml:space="preserve">24.0%</w:t>
            </w:r>
          </w:p>
        </w:tc>
        <w:tc>
          <w:tcPr/>
          <w:p>
            <w:pPr>
              <w:pStyle w:val="Compact"/>
            </w:pPr>
            <w:r>
              <w:t xml:space="preserve">13.5%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$30.15</w:t>
            </w:r>
          </w:p>
        </w:tc>
        <w:tc>
          <w:tcPr/>
          <w:p>
            <w:pPr>
              <w:pStyle w:val="Compact"/>
            </w:pPr>
            <w:r>
              <w:t xml:space="preserve">-84.1%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18.9%</w:t>
            </w:r>
          </w:p>
        </w:tc>
        <w:tc>
          <w:tcPr/>
          <w:p>
            <w:pPr>
              <w:pStyle w:val="Compact"/>
            </w:pPr>
            <w:r>
              <w:t xml:space="preserve">30.0%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$60.98</w:t>
            </w:r>
          </w:p>
        </w:tc>
        <w:tc>
          <w:tcPr/>
          <w:p>
            <w:pPr>
              <w:pStyle w:val="Compact"/>
            </w:pPr>
            <w:r>
              <w:t xml:space="preserve">-67.9%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24.6%</w:t>
            </w:r>
          </w:p>
        </w:tc>
        <w:tc>
          <w:tcPr/>
          <w:p>
            <w:pPr>
              <w:pStyle w:val="Compact"/>
            </w:pPr>
            <w:r>
              <w:t xml:space="preserve">34.5%</w:t>
            </w:r>
          </w:p>
        </w:tc>
        <w:tc>
          <w:tcPr/>
          <w:p>
            <w:pPr>
              <w:pStyle w:val="Compact"/>
            </w:pPr>
            <w:r>
              <w:t xml:space="preserve">12.0%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$96.12</w:t>
            </w:r>
          </w:p>
        </w:tc>
        <w:tc>
          <w:tcPr/>
          <w:p>
            <w:pPr>
              <w:pStyle w:val="Compact"/>
            </w:pPr>
            <w:r>
              <w:t xml:space="preserve">-49.4%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概率加权价值</w:t>
      </w:r>
      <w:r>
        <w:t xml:space="preserve"> </w:t>
      </w:r>
      <w:r>
        <w:rPr>
          <w:b/>
          <w:bCs/>
        </w:rPr>
        <w:t xml:space="preserve">$62.06</w:t>
      </w:r>
      <w:r>
        <w:rPr>
          <w:rFonts w:hint="eastAsia"/>
        </w:rPr>
        <w:t xml:space="preserve">（相对现价</w:t>
      </w:r>
      <w:r>
        <w:t xml:space="preserve"> </w:t>
      </w:r>
      <w:r>
        <w:rPr>
          <w:rFonts w:hint="eastAsia"/>
        </w:rPr>
        <w:t xml:space="preserve">-67.4%）。</w:t>
      </w:r>
    </w:p>
    <w:bookmarkEnd w:id="15"/>
    <w:bookmarkStart w:id="16" w:name="估值-dcf-reverse-dcf-roic-wacc-同业-敏感度"/>
    <w:p>
      <w:pPr>
        <w:pStyle w:val="Heading2"/>
      </w:pPr>
      <w:r>
        <w:t xml:space="preserve">8. </w:t>
      </w:r>
      <w:r>
        <w:rPr>
          <w:rFonts w:hint="eastAsia"/>
        </w:rPr>
        <w:t xml:space="preserve">估值:</w:t>
      </w:r>
      <w:r>
        <w:t xml:space="preserve"> DCF / Reverse DCF / ROIC-WACC / </w:t>
      </w:r>
      <w:r>
        <w:rPr>
          <w:rFonts w:hint="eastAsia"/>
        </w:rPr>
        <w:t xml:space="preserve">同业</w:t>
      </w:r>
      <w:r>
        <w:t xml:space="preserve"> / </w:t>
      </w:r>
      <w:r>
        <w:rPr>
          <w:rFonts w:hint="eastAsia"/>
        </w:rPr>
        <w:t xml:space="preserve">敏感度</w:t>
      </w:r>
    </w:p>
    <w:p>
      <w:pPr>
        <w:numPr>
          <w:ilvl w:val="0"/>
          <w:numId w:val="1005"/>
        </w:numPr>
      </w:pPr>
      <w:r>
        <w:t xml:space="preserve">DCF Base: EV 80.8 bn </w:t>
      </w:r>
      <w:r>
        <w:rPr>
          <w:rFonts w:hint="eastAsia"/>
        </w:rPr>
        <w:t xml:space="preserve">USD；终值占比</w:t>
      </w:r>
      <w:r>
        <w:t xml:space="preserve"> 47.5%。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Reverse DCF </w:t>
      </w:r>
      <w:r>
        <w:rPr>
          <w:rFonts w:hint="eastAsia"/>
          <w:b/>
          <w:bCs/>
        </w:rPr>
        <w:t xml:space="preserve">反向DCF</w:t>
      </w:r>
      <w:r>
        <w:t xml:space="preserve">: </w:t>
      </w:r>
      <w:r>
        <w:rPr>
          <w:rFonts w:hint="eastAsia"/>
        </w:rPr>
        <w:t xml:space="preserve">在Base利润率与WACC下，现价隐含Y1收入增速</w:t>
      </w:r>
      <w:r>
        <w:t xml:space="preserve"> ≈</w:t>
      </w:r>
      <w:r>
        <w:t xml:space="preserve"> </w:t>
      </w:r>
      <w:r>
        <w:rPr>
          <w:b/>
          <w:bCs/>
        </w:rPr>
        <w:t xml:space="preserve">50.8%</w:t>
      </w:r>
      <w:r>
        <w:rPr>
          <w:rFonts w:hint="eastAsia"/>
        </w:rPr>
        <w:t xml:space="preserve">；一致预期FY+1增速</w:t>
      </w:r>
      <w:r>
        <w:t xml:space="preserve"> 18.9%。</w:t>
      </w:r>
    </w:p>
    <w:p>
      <w:pPr>
        <w:numPr>
          <w:ilvl w:val="0"/>
          <w:numId w:val="1005"/>
        </w:numPr>
      </w:pPr>
      <w:r>
        <w:t xml:space="preserve">WACC (CAPM) = rf 5.2% + β 1.45 × ERP 5.0% = 12.5%。</w:t>
      </w:r>
    </w:p>
    <w:p>
      <w:pPr>
        <w:numPr>
          <w:ilvl w:val="0"/>
          <w:numId w:val="1005"/>
        </w:numPr>
      </w:pPr>
      <w:r>
        <w:t xml:space="preserve">SOTP segments </w:t>
      </w:r>
      <w:r>
        <w:rPr>
          <w:rFonts w:hint="eastAsia"/>
        </w:rPr>
        <w:t xml:space="preserve">分部:</w:t>
      </w:r>
      <w:r>
        <w:t xml:space="preserve"> Semiconductor process control </w:t>
      </w:r>
      <w:r>
        <w:rPr>
          <w:rFonts w:hint="eastAsia"/>
        </w:rPr>
        <w:t xml:space="preserve">半导体过程控制;</w:t>
      </w:r>
      <w:r>
        <w:t xml:space="preserve"> Specialty semi process </w:t>
      </w:r>
      <w:r>
        <w:rPr>
          <w:rFonts w:hint="eastAsia"/>
        </w:rPr>
        <w:t xml:space="preserve">特种工艺;</w:t>
      </w:r>
      <w:r>
        <w:t xml:space="preserve"> PCB &amp; component inspection </w:t>
      </w:r>
      <w:r>
        <w:rPr>
          <w:rFonts w:hint="eastAsia"/>
        </w:rPr>
        <w:t xml:space="preserve">PCB检测.</w:t>
      </w:r>
      <w:r>
        <w:t xml:space="preserve"> </w:t>
      </w:r>
      <w:r>
        <w:rPr>
          <w:b/>
          <w:bCs/>
        </w:rPr>
        <w:t xml:space="preserve">Status: framework only</w:t>
      </w:r>
      <w:r>
        <w:t xml:space="preserve"> </w:t>
      </w:r>
      <w:r>
        <w:t xml:space="preserve">— segment revenues are INPUT REQUIRED from the latest 10-K/10-Q segment note (not auto-fed, left blank to avoid </w:t>
      </w:r>
      <w:r>
        <w:rPr>
          <w:rFonts w:hint="eastAsia"/>
        </w:rPr>
        <w:t xml:space="preserve">fabrication)｜分部收入需按最新财报手动录入，未自动填充以避免编造。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同业比较</w:t>
      </w:r>
      <w:r>
        <w:t xml:space="preserve"> Comps (DATA):</w:t>
      </w:r>
      <w:r>
        <w:t xml:space="preserve"> </w:t>
      </w:r>
      <w:r>
        <w:t xml:space="preserve">| Ticker | </w:t>
      </w:r>
      <w:r>
        <w:rPr>
          <w:rFonts w:hint="eastAsia"/>
        </w:rPr>
        <w:t xml:space="preserve">市值</w:t>
      </w:r>
      <w:r>
        <w:t xml:space="preserve"> | EV/Sales | Fwd P/E | </w:t>
      </w:r>
      <w:r>
        <w:rPr>
          <w:rFonts w:hint="eastAsia"/>
        </w:rPr>
        <w:t xml:space="preserve">收入增速</w:t>
      </w:r>
      <w:r>
        <w:t xml:space="preserve"> | </w:t>
      </w:r>
      <w:r>
        <w:rPr>
          <w:rFonts w:hint="eastAsia"/>
        </w:rPr>
        <w:t xml:space="preserve">毛利率</w:t>
      </w:r>
      <w:r>
        <w:t xml:space="preserve"> | </w:t>
      </w:r>
      <w:r>
        <w:rPr>
          <w:rFonts w:hint="eastAsia"/>
        </w:rPr>
        <w:t xml:space="preserve">FCF收益率</w:t>
      </w:r>
      <w:r>
        <w:t xml:space="preserve"> |</w:t>
      </w:r>
      <w:r>
        <w:t xml:space="preserve"> </w:t>
      </w:r>
      <w:r>
        <w:t xml:space="preserve">|—|—|—|—|—|—|—|</w:t>
      </w:r>
      <w:r>
        <w:t xml:space="preserve"> </w:t>
      </w:r>
      <w:r>
        <w:t xml:space="preserve">| KLAC | 248.1 bn USD | 18.4x | 28.2x | 15.2% | 61.3% | 1.5% |</w:t>
      </w:r>
      <w:r>
        <w:t xml:space="preserve"> </w:t>
      </w:r>
      <w:r>
        <w:t xml:space="preserve">| AMAT | 394.8 bn USD | 12.7x | 26.9x | 24.8% | 49.4% | 0.8% |</w:t>
      </w:r>
      <w:r>
        <w:t xml:space="preserve"> </w:t>
      </w:r>
      <w:r>
        <w:t xml:space="preserve">| LRCX | 387.4 bn USD | 16.6x | 26.3x | 30.0% | 50.5% | 0.8% |</w:t>
      </w:r>
      <w:r>
        <w:t xml:space="preserve"> </w:t>
      </w:r>
      <w:r>
        <w:t xml:space="preserve">| ASML | 672.3 bn USD | 1057.0x | 30.1x | 21.3% | 52.7% | 1.3% |</w:t>
      </w:r>
      <w:r>
        <w:t xml:space="preserve"> </w:t>
      </w:r>
      <w:r>
        <w:t xml:space="preserve">| 8035.T | 27,040.6 bn USD | 10.6x | 9.0x | 33.3% | 45.6% | 1.1% |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敏感度:</w:t>
      </w:r>
      <w:r>
        <w:t xml:space="preserve"> </w:t>
      </w:r>
      <w:r>
        <w:rPr>
          <w:rFonts w:hint="eastAsia"/>
        </w:rPr>
        <w:t xml:space="preserve">见Excel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rPr>
          <w:rFonts w:hint="eastAsia"/>
        </w:rPr>
        <w:t xml:space="preserve">表</w:t>
      </w:r>
      <w:r>
        <w:t xml:space="preserve"> (WACC × </w:t>
      </w:r>
      <w:r>
        <w:rPr>
          <w:rFonts w:hint="eastAsia"/>
        </w:rPr>
        <w:t xml:space="preserve">永续增长率)。</w:t>
      </w:r>
    </w:p>
    <w:bookmarkEnd w:id="16"/>
    <w:bookmarkStart w:id="17" w:name="风险反方论证与证伪"/>
    <w:p>
      <w:pPr>
        <w:pStyle w:val="Heading2"/>
      </w:pPr>
      <w:r>
        <w:t xml:space="preserve">9. </w:t>
      </w:r>
      <w:r>
        <w:rPr>
          <w:rFonts w:hint="eastAsia"/>
        </w:rPr>
        <w:t xml:space="preserve">风险、反方论证与证伪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反方观点</w:t>
      </w:r>
      <w:r>
        <w:t xml:space="preserve"> Counter-thesis: China revenue normalization, WFE </w:t>
      </w:r>
      <w:r>
        <w:rPr>
          <w:rFonts w:hint="eastAsia"/>
        </w:rPr>
        <w:t xml:space="preserve">digestion｜中国收入回落、WFE消化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证伪指标:</w:t>
      </w:r>
      <w:r>
        <w:t xml:space="preserve"> WFE outlook cut; process-control share </w:t>
      </w:r>
      <w:r>
        <w:rPr>
          <w:rFonts w:hint="eastAsia"/>
        </w:rPr>
        <w:t xml:space="preserve">loss｜WFE展望下修；份额流失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模型风险:</w:t>
      </w:r>
      <w:r>
        <w:t xml:space="preserve"> </w:t>
      </w:r>
      <w:r>
        <w:rPr>
          <w:rFonts w:hint="eastAsia"/>
        </w:rPr>
        <w:t xml:space="preserve">长期利润率与WACC为假设；终值占比高时估值对假设极敏感。</w:t>
      </w:r>
    </w:p>
    <w:bookmarkEnd w:id="17"/>
    <w:bookmarkStart w:id="18" w:name="source-ledger-来源账本"/>
    <w:p>
      <w:pPr>
        <w:pStyle w:val="Heading2"/>
      </w:pPr>
      <w:r>
        <w:t xml:space="preserve">10. Source Ledger </w:t>
      </w:r>
      <w:r>
        <w:rPr>
          <w:rFonts w:hint="eastAsia"/>
        </w:rPr>
        <w:t xml:space="preserve">来源账本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Source/time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</w:t>
            </w:r>
            <w:r>
              <w:rPr>
                <w:rFonts w:hint="eastAsia"/>
              </w:rPr>
              <w:t xml:space="preserve">股价</w:t>
            </w:r>
          </w:p>
        </w:tc>
        <w:tc>
          <w:tcPr/>
          <w:p>
            <w:pPr>
              <w:pStyle w:val="Compact"/>
            </w:pPr>
            <w:r>
              <w:t xml:space="preserve">190.1</w:t>
            </w:r>
          </w:p>
        </w:tc>
        <w:tc>
          <w:tcPr/>
          <w:p>
            <w:pPr>
              <w:pStyle w:val="Compact"/>
            </w:pPr>
            <w:r>
              <w:t xml:space="preserve">Yahoo Finance quote, fetched 2026-10-13T16:22 SGT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cap </w:t>
            </w:r>
            <w:r>
              <w:rPr>
                <w:rFonts w:hint="eastAsia"/>
              </w:rPr>
              <w:t xml:space="preserve">市值</w:t>
            </w:r>
          </w:p>
        </w:tc>
        <w:tc>
          <w:tcPr/>
          <w:p>
            <w:pPr>
              <w:pStyle w:val="Compact"/>
            </w:pPr>
            <w:r>
              <w:t xml:space="preserve">2.481e+11</w:t>
            </w:r>
          </w:p>
        </w:tc>
        <w:tc>
          <w:tcPr/>
          <w:p>
            <w:pPr>
              <w:pStyle w:val="Compact"/>
            </w:pPr>
            <w:r>
              <w:t xml:space="preserve">Yahoo info.marketCap 2026-10-13T16:22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</w:t>
            </w:r>
            <w:r>
              <w:rPr>
                <w:rFonts w:hint="eastAsia"/>
              </w:rPr>
              <w:t xml:space="preserve">现金</w:t>
            </w:r>
          </w:p>
        </w:tc>
        <w:tc>
          <w:tcPr/>
          <w:p>
            <w:pPr>
              <w:pStyle w:val="Compact"/>
            </w:pPr>
            <w:r>
              <w:t xml:space="preserve">4.902e+09</w:t>
            </w:r>
          </w:p>
        </w:tc>
        <w:tc>
          <w:tcPr/>
          <w:p>
            <w:pPr>
              <w:pStyle w:val="Compact"/>
            </w:pPr>
            <w:r>
              <w:t xml:space="preserve">Yahoo info.totalCash (latest filing) 2026-10-13T16:22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 </w:t>
            </w:r>
            <w:r>
              <w:rPr>
                <w:rFonts w:hint="eastAsia"/>
              </w:rPr>
              <w:t xml:space="preserve">负债</w:t>
            </w:r>
          </w:p>
        </w:tc>
        <w:tc>
          <w:tcPr/>
          <w:p>
            <w:pPr>
              <w:pStyle w:val="Compact"/>
            </w:pPr>
            <w:r>
              <w:t xml:space="preserve">6.152e+09</w:t>
            </w:r>
          </w:p>
        </w:tc>
        <w:tc>
          <w:tcPr/>
          <w:p>
            <w:pPr>
              <w:pStyle w:val="Compact"/>
            </w:pPr>
            <w:r>
              <w:t xml:space="preserve">Yahoo info.totalDebt (latest filing) 2026-10-13T16:22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TTM </w:t>
            </w: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t xml:space="preserve">1.358e+10</w:t>
            </w:r>
          </w:p>
        </w:tc>
        <w:tc>
          <w:tcPr/>
          <w:p>
            <w:pPr>
              <w:pStyle w:val="Compact"/>
            </w:pPr>
            <w:r>
              <w:t xml:space="preserve">Yahoo info.totalRevenue (TTM, USD) 2026-10-13T16:22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 TTM </w:t>
            </w:r>
            <w:r>
              <w:rPr>
                <w:rFonts w:hint="eastAsia"/>
              </w:rPr>
              <w:t xml:space="preserve">自由现金流</w:t>
            </w:r>
          </w:p>
        </w:tc>
        <w:tc>
          <w:tcPr/>
          <w:p>
            <w:pPr>
              <w:pStyle w:val="Compact"/>
            </w:pPr>
            <w:r>
              <w:t xml:space="preserve">3.767e+09</w:t>
            </w:r>
          </w:p>
        </w:tc>
        <w:tc>
          <w:tcPr/>
          <w:p>
            <w:pPr>
              <w:pStyle w:val="Compact"/>
            </w:pPr>
            <w:r>
              <w:t xml:space="preserve">Sum of last 4 quarterly FCF (q_cash); quarters [</w:t>
            </w:r>
            <w:r>
              <w:t xml:space="preserve">‘2026-06-30’</w:t>
            </w:r>
            <w:r>
              <w:t xml:space="preserve">,</w:t>
            </w:r>
            <w:r>
              <w:t xml:space="preserve"> </w:t>
            </w:r>
            <w:r>
              <w:t xml:space="preserve">‘2026-03-31’</w:t>
            </w:r>
            <w:r>
              <w:t xml:space="preserve">,</w:t>
            </w:r>
            <w:r>
              <w:t xml:space="preserve"> </w:t>
            </w:r>
            <w:r>
              <w:t xml:space="preserve">‘2025-12-31’</w:t>
            </w:r>
            <w:r>
              <w:t xml:space="preserve">,</w:t>
            </w:r>
            <w:r>
              <w:t xml:space="preserve"> </w:t>
            </w:r>
            <w:r>
              <w:t xml:space="preserve">‘2025-09-30’</w:t>
            </w:r>
            <w:r>
              <w:t xml:space="preserve">]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1.447</w:t>
            </w:r>
          </w:p>
        </w:tc>
        <w:tc>
          <w:tcPr/>
          <w:p>
            <w:pPr>
              <w:pStyle w:val="Compact"/>
            </w:pPr>
            <w:r>
              <w:t xml:space="preserve">Yahoo info.beta (5Y monthly)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Risk-free 10Y </w:t>
            </w:r>
            <w:r>
              <w:rPr>
                <w:rFonts w:hint="eastAsia"/>
              </w:rPr>
              <w:t xml:space="preserve">无风险利率</w:t>
            </w:r>
          </w:p>
        </w:tc>
        <w:tc>
          <w:tcPr/>
          <w:p>
            <w:pPr>
              <w:pStyle w:val="Compact"/>
            </w:pPr>
            <w:r>
              <w:t xml:space="preserve">0.0522</w:t>
            </w:r>
          </w:p>
        </w:tc>
        <w:tc>
          <w:tcPr/>
          <w:p>
            <w:pPr>
              <w:pStyle w:val="Compact"/>
            </w:pPr>
            <w:r>
              <w:t xml:space="preserve">FRED DGS10 2026-10-08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 USD per USD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n/a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FY0</w:t>
            </w:r>
          </w:p>
        </w:tc>
        <w:tc>
          <w:tcPr/>
          <w:p>
            <w:pPr>
              <w:pStyle w:val="Compact"/>
            </w:pPr>
            <w:r>
              <w:t xml:space="preserve">0.336</w:t>
            </w:r>
          </w:p>
        </w:tc>
        <w:tc>
          <w:tcPr/>
          <w:p>
            <w:pPr>
              <w:pStyle w:val="Compact"/>
            </w:pPr>
            <w:r>
              <w:t xml:space="preserve">Yahoo revenue_estimate 0y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FY+1</w:t>
            </w:r>
          </w:p>
        </w:tc>
        <w:tc>
          <w:tcPr/>
          <w:p>
            <w:pPr>
              <w:pStyle w:val="Compact"/>
            </w:pPr>
            <w:r>
              <w:t xml:space="preserve">0.1892</w:t>
            </w:r>
          </w:p>
        </w:tc>
        <w:tc>
          <w:tcPr/>
          <w:p>
            <w:pPr>
              <w:pStyle w:val="Compact"/>
            </w:pPr>
            <w:r>
              <w:t xml:space="preserve">Yahoo revenue_estimate +1y</w:t>
            </w:r>
          </w:p>
        </w:tc>
      </w:tr>
    </w:tbl>
    <w:bookmarkEnd w:id="18"/>
    <w:bookmarkStart w:id="19" w:name="assumption-register-假设登记表"/>
    <w:p>
      <w:pPr>
        <w:pStyle w:val="Heading2"/>
      </w:pPr>
      <w:r>
        <w:t xml:space="preserve">11. Assumption Register </w:t>
      </w:r>
      <w:r>
        <w:rPr>
          <w:rFonts w:hint="eastAsia"/>
        </w:rPr>
        <w:t xml:space="preserve">假设登记表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股权风险溢价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ASSUMPTION: 5.0% house mature-market 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 clamp</w:t>
            </w:r>
          </w:p>
        </w:tc>
        <w:tc>
          <w:tcPr/>
          <w:p>
            <w:pPr>
              <w:pStyle w:val="Compact"/>
            </w:pPr>
            <w:r>
              <w:t xml:space="preserve">[0.8,1.6] → 1.45</w:t>
            </w:r>
          </w:p>
        </w:tc>
        <w:tc>
          <w:tcPr/>
          <w:p>
            <w:pPr>
              <w:pStyle w:val="Compact"/>
            </w:pPr>
            <w:r>
              <w:t xml:space="preserve">ASSUMPTION: limit extreme betas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rate (ROIC)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ASSUMPTION: blended cash tax 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Year-1 growth (Base)</w:t>
            </w:r>
          </w:p>
        </w:tc>
        <w:tc>
          <w:tcPr/>
          <w:p>
            <w:pPr>
              <w:pStyle w:val="Compact"/>
            </w:pPr>
            <w:r>
              <w:t xml:space="preserve">0.1892</w:t>
            </w:r>
          </w:p>
        </w:tc>
        <w:tc>
          <w:tcPr/>
          <w:p>
            <w:pPr>
              <w:pStyle w:val="Compact"/>
            </w:pPr>
            <w:r>
              <w:t xml:space="preserve">Consensus FY+1 revenue growth (Yahoo revenue_estimate</w:t>
            </w:r>
            <w:r>
              <w:t xml:space="preserve"> </w:t>
            </w:r>
            <w:r>
              <w:t xml:space="preserve">‘+1y’</w:t>
            </w:r>
            <w:r>
              <w:t xml:space="preserve">); capped at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 fade</w:t>
            </w:r>
          </w:p>
        </w:tc>
        <w:tc>
          <w:tcPr/>
          <w:p>
            <w:pPr>
              <w:pStyle w:val="Compact"/>
            </w:pPr>
            <w:r>
              <w:t xml:space="preserve">linear Y1→terminal by Y10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Starting FCF margin</w:t>
            </w:r>
          </w:p>
        </w:tc>
        <w:tc>
          <w:tcPr/>
          <w:p>
            <w:pPr>
              <w:pStyle w:val="Compact"/>
            </w:pPr>
            <w:r>
              <w:t xml:space="preserve">0.2774</w:t>
            </w:r>
          </w:p>
        </w:tc>
        <w:tc>
          <w:tcPr/>
          <w:p>
            <w:pPr>
              <w:pStyle w:val="Compact"/>
            </w:pPr>
            <w:r>
              <w:t xml:space="preserve">DATA: FCF TTM / Revenue TTM, floored -50%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Long-run FCF margin (Base)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ASSUMPTION (analyst framework, reached by Y5; see profile)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Y1 growth multiplier</w:t>
            </w:r>
          </w:p>
        </w:tc>
        <w:tc>
          <w:tcPr/>
          <w:p>
            <w:pPr>
              <w:pStyle w:val="Compact"/>
            </w:pPr>
            <w:r>
              <w:t xml:space="preserve">0.5x / 1.3x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margin multiplier</w:t>
            </w:r>
          </w:p>
        </w:tc>
        <w:tc>
          <w:tcPr/>
          <w:p>
            <w:pPr>
              <w:pStyle w:val="Compact"/>
            </w:pPr>
            <w:r>
              <w:t xml:space="preserve">0.8x / 1.15x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WACC adj Bear/Bull</w:t>
            </w:r>
          </w:p>
        </w:tc>
        <w:tc>
          <w:tcPr/>
          <w:p>
            <w:pPr>
              <w:pStyle w:val="Compact"/>
            </w:pPr>
            <w:r>
              <w:t xml:space="preserve">+1.0pp / -0.5pp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g Bear/Base/Bull</w:t>
            </w:r>
          </w:p>
        </w:tc>
        <w:tc>
          <w:tcPr/>
          <w:p>
            <w:pPr>
              <w:pStyle w:val="Compact"/>
            </w:pPr>
            <w:r>
              <w:t xml:space="preserve">2.5% / 3.0% / 3.5%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probabilities</w:t>
            </w:r>
          </w:p>
        </w:tc>
        <w:tc>
          <w:tcPr/>
          <w:p>
            <w:pPr>
              <w:pStyle w:val="Compact"/>
            </w:pPr>
            <w:r>
              <w:t xml:space="preserve">25% / 50% / 25%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 exit EV/NTM-FCF Bear/Base/Bull</w:t>
            </w:r>
          </w:p>
        </w:tc>
        <w:tc>
          <w:tcPr/>
          <w:p>
            <w:pPr>
              <w:pStyle w:val="Compact"/>
            </w:pPr>
            <w:r>
              <w:t xml:space="preserve">15x / 25x / 35x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Per-share conversion</w:t>
            </w:r>
          </w:p>
        </w:tc>
        <w:tc>
          <w:tcPr/>
          <w:p>
            <w:pPr>
              <w:pStyle w:val="Compact"/>
            </w:pPr>
            <w:r>
              <w:t xml:space="preserve">value × fx ÷ market cap × price</w:t>
            </w:r>
          </w:p>
        </w:tc>
        <w:tc>
          <w:tcPr/>
          <w:p>
            <w:pPr>
              <w:pStyle w:val="Compact"/>
            </w:pPr>
            <w:r>
              <w:t xml:space="preserve">METHOD: avoids ADR/share-class mismatch</w:t>
            </w:r>
          </w:p>
        </w:tc>
      </w:tr>
    </w:tbl>
    <w:bookmarkEnd w:id="19"/>
    <w:bookmarkStart w:id="20" w:name="model-provenance-模型溯源"/>
    <w:p>
      <w:pPr>
        <w:pStyle w:val="Heading2"/>
      </w:pPr>
      <w:r>
        <w:t xml:space="preserve">12. Model Provenance </w:t>
      </w:r>
      <w:r>
        <w:rPr>
          <w:rFonts w:hint="eastAsia"/>
        </w:rPr>
        <w:t xml:space="preserve">模型溯源</w:t>
      </w:r>
    </w:p>
    <w:p>
      <w:pPr>
        <w:pStyle w:val="Compact"/>
        <w:numPr>
          <w:ilvl w:val="0"/>
          <w:numId w:val="1007"/>
        </w:numPr>
      </w:pPr>
      <w:r>
        <w:t xml:space="preserve">Model file:</w:t>
      </w:r>
      <w:r>
        <w:t xml:space="preserve"> </w:t>
      </w:r>
      <w:r>
        <w:rPr>
          <w:rStyle w:val="VerbatimChar"/>
        </w:rPr>
        <w:t xml:space="preserve">KLAC_model_v20261013-1622.xlsx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</w:p>
    <w:p>
      <w:pPr>
        <w:pStyle w:val="Compact"/>
        <w:numPr>
          <w:ilvl w:val="0"/>
          <w:numId w:val="1007"/>
        </w:numPr>
      </w:pPr>
      <w:r>
        <w:t xml:space="preserve">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</w:p>
    <w:p>
      <w:pPr>
        <w:pStyle w:val="Compact"/>
        <w:numPr>
          <w:ilvl w:val="0"/>
          <w:numId w:val="1007"/>
        </w:numPr>
      </w:pPr>
      <w:r>
        <w:t xml:space="preserve">Data snapshot:</w:t>
      </w:r>
      <w:r>
        <w:t xml:space="preserve"> </w:t>
      </w:r>
      <w:r>
        <w:rPr>
          <w:rStyle w:val="VerbatimChar"/>
        </w:rPr>
        <w:t xml:space="preserve">data/snapshots/20261013-1622</w:t>
      </w:r>
      <w:r>
        <w:t xml:space="preserve"> </w:t>
      </w:r>
      <w:r>
        <w:t xml:space="preserve">(immutable) | Fetched 2026-10-13 16:22 SGT | Generated 2026-10-13 16:23 SGT</w:t>
      </w:r>
    </w:p>
    <w:p>
      <w:pPr>
        <w:pStyle w:val="Compact"/>
        <w:numPr>
          <w:ilvl w:val="0"/>
          <w:numId w:val="1007"/>
        </w:numPr>
      </w:pPr>
      <w:r>
        <w:t xml:space="preserve">Version: v20261013-1622. Prior versions are never overwritten (see company history page).</w:t>
      </w:r>
    </w:p>
    <w:bookmarkEnd w:id="20"/>
    <w:bookmarkStart w:id="21" w:name="版本与事件时间轴"/>
    <w:p>
      <w:pPr>
        <w:pStyle w:val="Heading2"/>
      </w:pPr>
      <w:r>
        <w:t xml:space="preserve">13. </w:t>
      </w:r>
      <w:r>
        <w:rPr>
          <w:rFonts w:hint="eastAsia"/>
        </w:rPr>
        <w:t xml:space="preserve">版本与事件时间轴</w:t>
      </w:r>
    </w:p>
    <w:p>
      <w:pPr>
        <w:pStyle w:val="Compact"/>
        <w:numPr>
          <w:ilvl w:val="0"/>
          <w:numId w:val="1008"/>
        </w:numPr>
      </w:pPr>
      <w:r>
        <w:t xml:space="preserve">v20261013-1622: </w:t>
      </w:r>
      <w:r>
        <w:rPr>
          <w:rFonts w:hint="eastAsia"/>
        </w:rPr>
        <w:t xml:space="preserve">首版生产系统报告</w:t>
      </w:r>
      <w:r>
        <w:t xml:space="preserve"> </w:t>
      </w:r>
      <w:r>
        <w:rPr>
          <w:rFonts w:hint="eastAsia"/>
        </w:rPr>
        <w:t xml:space="preserve">(27家同步)。下一事件:</w:t>
      </w:r>
      <w:r>
        <w:t xml:space="preserve"> </w:t>
      </w:r>
      <w:r>
        <w:rPr>
          <w:rFonts w:hint="eastAsia"/>
        </w:rPr>
        <w:t xml:space="preserve">财报</w:t>
      </w:r>
      <w:r>
        <w:t xml:space="preserve"> 2026-10-29 (TENTATIVE)。</w:t>
      </w:r>
    </w:p>
    <w:bookmarkEnd w:id="21"/>
    <w:bookmarkStart w:id="37" w:name="图片报告-image-report"/>
    <w:p>
      <w:pPr>
        <w:pStyle w:val="Heading2"/>
      </w:pPr>
      <w:r>
        <w:rPr>
          <w:rFonts w:hint="eastAsia"/>
        </w:rPr>
        <w:t xml:space="preserve">图片报告</w:t>
      </w:r>
      <w:r>
        <w:t xml:space="preserve"> Image Report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1_price_vs_value" title="" id="23" name="Picture"/>
            <a:graphic>
              <a:graphicData uri="http://schemas.openxmlformats.org/drawingml/2006/picture">
                <pic:pic>
                  <pic:nvPicPr>
                    <pic:cNvPr descr="images/KLAC_1_price_vs_valu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1_price_vs_value</w:t>
      </w:r>
    </w:p>
    <w:p>
      <w:pPr>
        <w:pStyle w:val="BodyText"/>
      </w:pPr>
      <w:r>
        <w:rPr>
          <w:rFonts w:hint="eastAsia"/>
          <w:i/>
          <w:iCs/>
        </w:rPr>
        <w:t xml:space="preserve">股价vs三情景价值</w:t>
      </w:r>
      <w:r>
        <w:rPr>
          <w:i/>
          <w:iCs/>
        </w:rPr>
        <w:t xml:space="preserve"> Price vs scenario values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2_financials" title="" id="26" name="Picture"/>
            <a:graphic>
              <a:graphicData uri="http://schemas.openxmlformats.org/drawingml/2006/picture">
                <pic:pic>
                  <pic:nvPicPr>
                    <pic:cNvPr descr="images/KLAC_2_financial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2_financials</w:t>
      </w:r>
    </w:p>
    <w:p>
      <w:pPr>
        <w:pStyle w:val="BodyText"/>
      </w:pPr>
      <w:r>
        <w:rPr>
          <w:rFonts w:hint="eastAsia"/>
          <w:i/>
          <w:iCs/>
        </w:rPr>
        <w:t xml:space="preserve">季度财务</w:t>
      </w:r>
      <w:r>
        <w:rPr>
          <w:i/>
          <w:iCs/>
        </w:rPr>
        <w:t xml:space="preserve"> Quarterly financials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3_scenarios" title="" id="29" name="Picture"/>
            <a:graphic>
              <a:graphicData uri="http://schemas.openxmlformats.org/drawingml/2006/picture">
                <pic:pic>
                  <pic:nvPicPr>
                    <pic:cNvPr descr="images/KLAC_3_scenario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3_scenarios</w:t>
      </w:r>
    </w:p>
    <w:p>
      <w:pPr>
        <w:pStyle w:val="BodyText"/>
      </w:pPr>
      <w:r>
        <w:rPr>
          <w:rFonts w:hint="eastAsia"/>
          <w:i/>
          <w:iCs/>
        </w:rPr>
        <w:t xml:space="preserve">三情景</w:t>
      </w:r>
      <w:r>
        <w:rPr>
          <w:i/>
          <w:iCs/>
        </w:rPr>
        <w:t xml:space="preserve"> Scenarios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4_horizons" title="" id="32" name="Picture"/>
            <a:graphic>
              <a:graphicData uri="http://schemas.openxmlformats.org/drawingml/2006/picture">
                <pic:pic>
                  <pic:nvPicPr>
                    <pic:cNvPr descr="images/KLAC_4_horizon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4_horizons</w:t>
      </w:r>
    </w:p>
    <w:p>
      <w:pPr>
        <w:pStyle w:val="BodyText"/>
      </w:pPr>
      <w:r>
        <w:rPr>
          <w:rFonts w:hint="eastAsia"/>
          <w:i/>
          <w:iCs/>
        </w:rPr>
        <w:t xml:space="preserve">2/4/6/8季度检验</w:t>
      </w:r>
      <w:r>
        <w:rPr>
          <w:i/>
          <w:iCs/>
        </w:rPr>
        <w:t xml:space="preserve"> Horizon check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5_logic_map" title="" id="35" name="Picture"/>
            <a:graphic>
              <a:graphicData uri="http://schemas.openxmlformats.org/drawingml/2006/picture">
                <pic:pic>
                  <pic:nvPicPr>
                    <pic:cNvPr descr="images/KLAC_5_logic_map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5_logic_map</w:t>
      </w:r>
    </w:p>
    <w:p>
      <w:pPr>
        <w:pStyle w:val="BodyText"/>
      </w:pPr>
      <w:r>
        <w:rPr>
          <w:rFonts w:hint="eastAsia"/>
          <w:i/>
          <w:iCs/>
        </w:rPr>
        <w:t xml:space="preserve">研究逻辑图</w:t>
      </w:r>
      <w:r>
        <w:rPr>
          <w:i/>
          <w:iCs/>
        </w:rPr>
        <w:t xml:space="preserve"> Logic map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9" w:name="X18d19c052bea03a98e5f6a008a5bc151dc29ab6"/>
    <w:p>
      <w:pPr>
        <w:pStyle w:val="Heading1"/>
      </w:pPr>
      <w:r>
        <w:t xml:space="preserve">KLAC KLA Corporation — Equity Deep Dive (Professional English) v20261013-1622</w:t>
      </w:r>
    </w:p>
    <w:p>
      <w:pPr>
        <w:pStyle w:val="BlockText"/>
      </w:pPr>
      <w:r>
        <w:t xml:space="preserve">Data as of 2026-10-13 16:22 SGT | Price $190.12 | Mkt cap 248.1 bn USD | Reporting currency USD | Not investment advice.</w:t>
      </w:r>
    </w:p>
    <w:bookmarkStart w:id="39" w:name="investment-thesis-hypothesis"/>
    <w:p>
      <w:pPr>
        <w:pStyle w:val="Heading2"/>
      </w:pPr>
      <w:r>
        <w:t xml:space="preserve">1. Investment thesis (HYPOTHESIS)</w:t>
      </w:r>
    </w:p>
    <w:p>
      <w:pPr>
        <w:pStyle w:val="FirstParagraph"/>
      </w:pPr>
      <w:r>
        <w:t xml:space="preserve">KLA is a near-oligopoly in inspection/metrology; rising complexity at leading-edge, HBM and advanced packaging increases process-control intensity. High ROIC, strong buybacks.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Bull drivers</w:t>
      </w:r>
      <w:r>
        <w:t xml:space="preserve">: WFE grows with N2/A16 and HBM; packaging inspection </w:t>
      </w:r>
      <w:r>
        <w:rPr>
          <w:rFonts w:hint="eastAsia"/>
        </w:rPr>
        <w:t xml:space="preserve">grows｜WFE随N2与HBM增长；封装检测成长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Bear drivers</w:t>
      </w:r>
      <w:r>
        <w:t xml:space="preserve">: China revenue normalization, WFE </w:t>
      </w:r>
      <w:r>
        <w:rPr>
          <w:rFonts w:hint="eastAsia"/>
        </w:rPr>
        <w:t xml:space="preserve">digestion｜中国收入回落、WFE消化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Falsifiers</w:t>
      </w:r>
      <w:r>
        <w:t xml:space="preserve">: WFE outlook cut; process-control share </w:t>
      </w:r>
      <w:r>
        <w:rPr>
          <w:rFonts w:hint="eastAsia"/>
        </w:rPr>
        <w:t xml:space="preserve">loss｜WFE展望下修；份额流失</w:t>
      </w:r>
    </w:p>
    <w:bookmarkEnd w:id="39"/>
    <w:bookmarkStart w:id="40" w:name="products-customers-revenue-model"/>
    <w:p>
      <w:pPr>
        <w:pStyle w:val="Heading2"/>
      </w:pPr>
      <w:r>
        <w:t xml:space="preserve">2. Products, customers, revenue model</w:t>
      </w:r>
    </w:p>
    <w:p>
      <w:pPr>
        <w:pStyle w:val="Compact"/>
        <w:numPr>
          <w:ilvl w:val="0"/>
          <w:numId w:val="1010"/>
        </w:numPr>
      </w:pPr>
      <w:r>
        <w:t xml:space="preserve">Theme: Process control / inspection </w:t>
      </w:r>
      <w:r>
        <w:rPr>
          <w:rFonts w:hint="eastAsia"/>
        </w:rPr>
        <w:t xml:space="preserve">量测检测</w:t>
      </w:r>
      <w:r>
        <w:t xml:space="preserve"> | Segments: Semiconductor process control </w:t>
      </w:r>
      <w:r>
        <w:rPr>
          <w:rFonts w:hint="eastAsia"/>
        </w:rPr>
        <w:t xml:space="preserve">半导体过程控制;</w:t>
      </w:r>
      <w:r>
        <w:t xml:space="preserve"> Specialty semi process </w:t>
      </w:r>
      <w:r>
        <w:rPr>
          <w:rFonts w:hint="eastAsia"/>
        </w:rPr>
        <w:t xml:space="preserve">特种工艺;</w:t>
      </w:r>
      <w:r>
        <w:t xml:space="preserve"> PCB &amp; component inspection </w:t>
      </w:r>
      <w:r>
        <w:rPr>
          <w:rFonts w:hint="eastAsia"/>
        </w:rPr>
        <w:t xml:space="preserve">PCB检测</w:t>
      </w:r>
    </w:p>
    <w:p>
      <w:pPr>
        <w:pStyle w:val="Compact"/>
        <w:numPr>
          <w:ilvl w:val="0"/>
          <w:numId w:val="1010"/>
        </w:numPr>
      </w:pPr>
      <w:r>
        <w:t xml:space="preserve">Business description (DATA): KLA Corporation, together with its subsidiaries, provides process control and process-enabling solutions for manufacturing wafers, reticles/masks, chemicals/materials, integrated circuits (ICs), packaged ICs, and printed circuit boards. It operates through three segments: Semiconductor Process Control; Specialty Semiconductor Process; and PCB and Component Inspection. The company offers inspection and review tools to identify, locate, characterize, review, and analyze defects on various surfaces of patterned and unpatterned wafers; chemical process control equipment; wired and wireless sensor wafers and reticles; wafer defect inspection, review, and metrology systems; reticle inspection and metrology systems; wafer inspection and metrology systems; semiconductor software solutions; KLA Pro systems; and specialty semiconductor manufacturing, benchtop metrology, surface characterization, m</w:t>
      </w:r>
    </w:p>
    <w:p>
      <w:pPr>
        <w:pStyle w:val="Compact"/>
        <w:numPr>
          <w:ilvl w:val="0"/>
          <w:numId w:val="1010"/>
        </w:numPr>
      </w:pPr>
      <w:r>
        <w:t xml:space="preserve">Customers: TSMC, Samsung, Intel, SK hynix, Micron, Chinese </w:t>
      </w:r>
      <w:r>
        <w:rPr>
          <w:rFonts w:hint="eastAsia"/>
        </w:rPr>
        <w:t xml:space="preserve">fabs｜台积电、三星、英特尔、海力士、美光、中国晶圆厂</w:t>
      </w:r>
    </w:p>
    <w:bookmarkEnd w:id="40"/>
    <w:bookmarkStart w:id="41" w:name="Xf7e0eebfce2361ef4d938640eaa3e4cf812446c"/>
    <w:p>
      <w:pPr>
        <w:pStyle w:val="Heading2"/>
      </w:pPr>
      <w:r>
        <w:t xml:space="preserve">3. Industry, competition, regulation, supply chain (ANALYST FRAMEWORK)</w:t>
      </w:r>
    </w:p>
    <w:p>
      <w:pPr>
        <w:pStyle w:val="Compact"/>
        <w:numPr>
          <w:ilvl w:val="0"/>
          <w:numId w:val="1011"/>
        </w:numPr>
      </w:pPr>
      <w:r>
        <w:t xml:space="preserve">Suppliers: Optics, lasers, precision </w:t>
      </w:r>
      <w:r>
        <w:rPr>
          <w:rFonts w:hint="eastAsia"/>
        </w:rPr>
        <w:t xml:space="preserve">components｜光学、激光、精密部件</w:t>
      </w:r>
    </w:p>
    <w:p>
      <w:pPr>
        <w:pStyle w:val="Compact"/>
        <w:numPr>
          <w:ilvl w:val="0"/>
          <w:numId w:val="1011"/>
        </w:numPr>
      </w:pPr>
      <w:r>
        <w:t xml:space="preserve">Competitors: AMAT (e-beam), Hitachi High-Tech, Lasertec, Onto, </w:t>
      </w:r>
      <w:r>
        <w:rPr>
          <w:rFonts w:hint="eastAsia"/>
        </w:rPr>
        <w:t xml:space="preserve">Nova｜应材、日立高新、Lasertec、Onto、Nova</w:t>
      </w:r>
    </w:p>
    <w:p>
      <w:pPr>
        <w:pStyle w:val="Compact"/>
        <w:numPr>
          <w:ilvl w:val="0"/>
          <w:numId w:val="1011"/>
        </w:numPr>
      </w:pPr>
      <w:r>
        <w:t xml:space="preserve">Bottlenecks/regulation: China export controls, leading-edge capex </w:t>
      </w:r>
      <w:r>
        <w:rPr>
          <w:rFonts w:hint="eastAsia"/>
        </w:rPr>
        <w:t xml:space="preserve">cycle｜对华出口管制、先进制程Capex周期</w:t>
      </w:r>
    </w:p>
    <w:p>
      <w:pPr>
        <w:pStyle w:val="Compact"/>
        <w:numPr>
          <w:ilvl w:val="0"/>
          <w:numId w:val="1011"/>
        </w:numPr>
      </w:pPr>
      <w:r>
        <w:t xml:space="preserve">KPIs: Revenue, GM%, China mix, backlog, </w:t>
      </w:r>
      <w:r>
        <w:rPr>
          <w:rFonts w:hint="eastAsia"/>
        </w:rPr>
        <w:t xml:space="preserve">buybacks｜收入、毛利率、中国占比、积压、回购</w:t>
      </w:r>
    </w:p>
    <w:p>
      <w:pPr>
        <w:pStyle w:val="Compact"/>
        <w:numPr>
          <w:ilvl w:val="0"/>
          <w:numId w:val="1011"/>
        </w:numPr>
      </w:pPr>
      <w:r>
        <w:t xml:space="preserve">Component spot/contract prices: paid feeds not connected —</w:t>
      </w:r>
      <w:r>
        <w:t xml:space="preserve"> </w:t>
      </w:r>
      <w:r>
        <w:rPr>
          <w:b/>
          <w:bCs/>
        </w:rPr>
        <w:t xml:space="preserve">UNAVAILABLE</w:t>
      </w:r>
      <w:r>
        <w:t xml:space="preserve">, tracked qualitatively.</w:t>
      </w:r>
    </w:p>
    <w:bookmarkEnd w:id="41"/>
    <w:bookmarkStart w:id="42" w:name="Xf82d66d225d90b4cba8a47757a9fbb4df26318d"/>
    <w:p>
      <w:pPr>
        <w:pStyle w:val="Heading2"/>
      </w:pPr>
      <w:r>
        <w:t xml:space="preserve">4. Historical financials &amp; cash flow (CONFIRMED, quarterly,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Gross profit</w:t>
            </w:r>
          </w:p>
        </w:tc>
        <w:tc>
          <w:tcPr/>
          <w:p>
            <w:pPr>
              <w:pStyle w:val="Compact"/>
            </w:pPr>
            <w:r>
              <w:t xml:space="preserve">Op income</w:t>
            </w:r>
          </w:p>
        </w:tc>
        <w:tc>
          <w:tcPr/>
          <w:p>
            <w:pPr>
              <w:pStyle w:val="Compact"/>
            </w:pPr>
            <w:r>
              <w:t xml:space="preserve">Net income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t xml:space="preserve">Op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3.7 bn USD</w:t>
            </w:r>
          </w:p>
        </w:tc>
        <w:tc>
          <w:tcPr/>
          <w:p>
            <w:pPr>
              <w:pStyle w:val="Compact"/>
            </w:pPr>
            <w:r>
              <w:t xml:space="preserve">2.2 bn USD</w:t>
            </w:r>
          </w:p>
        </w:tc>
        <w:tc>
          <w:tcPr/>
          <w:p>
            <w:pPr>
              <w:pStyle w:val="Compact"/>
            </w:pPr>
            <w:r>
              <w:t xml:space="preserve">1.6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0.8 bn USD</w:t>
            </w:r>
          </w:p>
        </w:tc>
        <w:tc>
          <w:tcPr/>
          <w:p>
            <w:pPr>
              <w:pStyle w:val="Compact"/>
            </w:pPr>
            <w:r>
              <w:t xml:space="preserve">42.5%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3.4 bn USD</w:t>
            </w:r>
          </w:p>
        </w:tc>
        <w:tc>
          <w:tcPr/>
          <w:p>
            <w:pPr>
              <w:pStyle w:val="Compact"/>
            </w:pPr>
            <w:r>
              <w:t xml:space="preserve">2.1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1.2 bn USD</w:t>
            </w:r>
          </w:p>
        </w:tc>
        <w:tc>
          <w:tcPr/>
          <w:p>
            <w:pPr>
              <w:pStyle w:val="Compact"/>
            </w:pPr>
            <w:r>
              <w:t xml:space="preserve">0.6 bn USD</w:t>
            </w:r>
          </w:p>
        </w:tc>
        <w:tc>
          <w:tcPr/>
          <w:p>
            <w:pPr>
              <w:pStyle w:val="Compact"/>
            </w:pPr>
            <w:r>
              <w:t xml:space="preserve">41.2%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3.3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1.3 bn USD</w:t>
            </w:r>
          </w:p>
        </w:tc>
        <w:tc>
          <w:tcPr/>
          <w:p>
            <w:pPr>
              <w:pStyle w:val="Compact"/>
            </w:pPr>
            <w:r>
              <w:t xml:space="preserve">41.3%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3.2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1.3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41.7%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3.2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1.2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42.6%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2025-03-31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Cash 4.9 bn USD; debt 6.2 bn USD; TTM FCF 3.8 bn USD (FCF margin 27.7%).</w:t>
      </w:r>
    </w:p>
    <w:bookmarkEnd w:id="42"/>
    <w:bookmarkStart w:id="43" w:name="X3c821d6e9fede090eb3c69e03178b96148c2c25"/>
    <w:p>
      <w:pPr>
        <w:pStyle w:val="Heading2"/>
      </w:pPr>
      <w:r>
        <w:t xml:space="preserve">5. Latest earnings: actual vs consensus vs guidance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EPS actual</w:t>
            </w:r>
          </w:p>
        </w:tc>
        <w:tc>
          <w:tcPr/>
          <w:p>
            <w:pPr>
              <w:pStyle w:val="Compact"/>
            </w:pPr>
            <w:r>
              <w:t xml:space="preserve">EPS consensus</w:t>
            </w:r>
          </w:p>
        </w:tc>
        <w:tc>
          <w:tcPr/>
          <w:p>
            <w:pPr>
              <w:pStyle w:val="Compact"/>
            </w:pPr>
            <w:r>
              <w:t xml:space="preserve">Surprise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0.881</w:t>
            </w:r>
          </w:p>
        </w:tc>
        <w:tc>
          <w:tcPr/>
          <w:p>
            <w:pPr>
              <w:pStyle w:val="Compact"/>
            </w:pPr>
            <w:r>
              <w:t xml:space="preserve">0.86172</w:t>
            </w:r>
          </w:p>
        </w:tc>
        <w:tc>
          <w:tcPr/>
          <w:p>
            <w:pPr>
              <w:pStyle w:val="Compact"/>
            </w:pPr>
            <w:r>
              <w:t xml:space="preserve">0.0224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  <w:tc>
          <w:tcPr/>
          <w:p>
            <w:pPr>
              <w:pStyle w:val="Compact"/>
            </w:pPr>
            <w:r>
              <w:t xml:space="preserve">0.87978</w:t>
            </w:r>
          </w:p>
        </w:tc>
        <w:tc>
          <w:tcPr/>
          <w:p>
            <w:pPr>
              <w:pStyle w:val="Compact"/>
            </w:pPr>
            <w:r>
              <w:t xml:space="preserve">0.0058999998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0.91703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1.05</w:t>
            </w:r>
          </w:p>
        </w:tc>
        <w:tc>
          <w:tcPr/>
          <w:p>
            <w:pPr>
              <w:pStyle w:val="Compact"/>
            </w:pPr>
            <w:r>
              <w:t xml:space="preserve">0.99866</w:t>
            </w:r>
          </w:p>
        </w:tc>
        <w:tc>
          <w:tcPr/>
          <w:p>
            <w:pPr>
              <w:pStyle w:val="Compact"/>
            </w:pPr>
            <w:r>
              <w:t xml:space="preserve">0.0514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Management guidance: not in automated feed —</w:t>
      </w:r>
      <w:r>
        <w:t xml:space="preserve"> </w:t>
      </w:r>
      <w:r>
        <w:rPr>
          <w:b/>
          <w:bCs/>
        </w:rPr>
        <w:t xml:space="preserve">UNAVAILABLE (to be entered from IR release)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Next earnings (Yahoo; TENTATIVE until company-confirmed):</w:t>
      </w:r>
      <w:r>
        <w:t xml:space="preserve"> </w:t>
      </w:r>
      <w:r>
        <w:rPr>
          <w:b/>
          <w:bCs/>
        </w:rPr>
        <w:t xml:space="preserve">2026-10-29</w:t>
      </w:r>
      <w:r>
        <w:t xml:space="preserve">; current-quarter EPS consensus 1.17822 (22 analysts); revenue consensus 4.0 bn USD.</w:t>
      </w:r>
    </w:p>
    <w:bookmarkEnd w:id="43"/>
    <w:bookmarkStart w:id="44" w:name="quarter-drivers-price-reasonableness"/>
    <w:p>
      <w:pPr>
        <w:pStyle w:val="Heading2"/>
      </w:pPr>
      <w:r>
        <w:t xml:space="preserve">6. 2/4/6/8-quarter drivers &amp; price reasonableness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PV of horizon price</w:t>
            </w:r>
          </w:p>
        </w:tc>
        <w:tc>
          <w:tcPr/>
          <w:p>
            <w:pPr>
              <w:pStyle w:val="Compact"/>
            </w:pPr>
            <w:r>
              <w:t xml:space="preserve">vs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$43.77</w:t>
            </w:r>
          </w:p>
        </w:tc>
        <w:tc>
          <w:tcPr/>
          <w:p>
            <w:pPr>
              <w:pStyle w:val="Compact"/>
            </w:pPr>
            <w:r>
              <w:t xml:space="preserve">-77.0%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$89.51</w:t>
            </w:r>
          </w:p>
        </w:tc>
        <w:tc>
          <w:tcPr/>
          <w:p>
            <w:pPr>
              <w:pStyle w:val="Compact"/>
            </w:pPr>
            <w:r>
              <w:t xml:space="preserve">-52.9%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$141.60</w:t>
            </w:r>
          </w:p>
        </w:tc>
        <w:tc>
          <w:tcPr/>
          <w:p>
            <w:pPr>
              <w:pStyle w:val="Compact"/>
            </w:pPr>
            <w:r>
              <w:t xml:space="preserve">-25.5%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$42.42</w:t>
            </w:r>
          </w:p>
        </w:tc>
        <w:tc>
          <w:tcPr/>
          <w:p>
            <w:pPr>
              <w:pStyle w:val="Compact"/>
            </w:pPr>
            <w:r>
              <w:t xml:space="preserve">-77.7%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$92.86</w:t>
            </w:r>
          </w:p>
        </w:tc>
        <w:tc>
          <w:tcPr/>
          <w:p>
            <w:pPr>
              <w:pStyle w:val="Compact"/>
            </w:pPr>
            <w:r>
              <w:t xml:space="preserve">-51.2%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$152.90</w:t>
            </w:r>
          </w:p>
        </w:tc>
        <w:tc>
          <w:tcPr/>
          <w:p>
            <w:pPr>
              <w:pStyle w:val="Compact"/>
            </w:pPr>
            <w:r>
              <w:t xml:space="preserve">-19.6%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$41.09</w:t>
            </w:r>
          </w:p>
        </w:tc>
        <w:tc>
          <w:tcPr/>
          <w:p>
            <w:pPr>
              <w:pStyle w:val="Compact"/>
            </w:pPr>
            <w:r>
              <w:t xml:space="preserve">-78.4%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$96.32</w:t>
            </w:r>
          </w:p>
        </w:tc>
        <w:tc>
          <w:tcPr/>
          <w:p>
            <w:pPr>
              <w:pStyle w:val="Compact"/>
            </w:pPr>
            <w:r>
              <w:t xml:space="preserve">-49.3%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$164.99</w:t>
            </w:r>
          </w:p>
        </w:tc>
        <w:tc>
          <w:tcPr/>
          <w:p>
            <w:pPr>
              <w:pStyle w:val="Compact"/>
            </w:pPr>
            <w:r>
              <w:t xml:space="preserve">-13.2%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$39.80</w:t>
            </w:r>
          </w:p>
        </w:tc>
        <w:tc>
          <w:tcPr/>
          <w:p>
            <w:pPr>
              <w:pStyle w:val="Compact"/>
            </w:pPr>
            <w:r>
              <w:t xml:space="preserve">-79.1%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$99.90</w:t>
            </w:r>
          </w:p>
        </w:tc>
        <w:tc>
          <w:tcPr/>
          <w:p>
            <w:pPr>
              <w:pStyle w:val="Compact"/>
            </w:pPr>
            <w:r>
              <w:t xml:space="preserve">-47.5%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$177.94</w:t>
            </w:r>
          </w:p>
        </w:tc>
        <w:tc>
          <w:tcPr/>
          <w:p>
            <w:pPr>
              <w:pStyle w:val="Compact"/>
            </w:pPr>
            <w:r>
              <w:t xml:space="preserve">-6.4%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Current-price implied EV/NTM-FCF on Base path:</w:t>
            </w:r>
          </w:p>
        </w:tc>
        <w:tc>
          <w:tcPr/>
          <w:p>
            <w:pPr>
              <w:pStyle w:val="Compact"/>
            </w:pPr>
            <w:r>
              <w:t xml:space="preserve">Horizon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49.8x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45.3x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41.2x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37.5x</w:t>
            </w:r>
          </w:p>
        </w:tc>
      </w:tr>
    </w:tbl>
    <w:bookmarkEnd w:id="44"/>
    <w:bookmarkStart w:id="45" w:name="bear-base-bull-hypothesis"/>
    <w:p>
      <w:pPr>
        <w:pStyle w:val="Heading2"/>
      </w:pPr>
      <w:r>
        <w:t xml:space="preserve">7.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Y1 growth</w:t>
            </w:r>
          </w:p>
        </w:tc>
        <w:tc>
          <w:tcPr/>
          <w:p>
            <w:pPr>
              <w:pStyle w:val="Compact"/>
            </w:pPr>
            <w:r>
              <w:t xml:space="preserve">LR FCF margin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t xml:space="preserve">Terminal g</w:t>
            </w:r>
          </w:p>
        </w:tc>
        <w:tc>
          <w:tcPr/>
          <w:p>
            <w:pPr>
              <w:pStyle w:val="Compact"/>
            </w:pPr>
            <w:r>
              <w:t xml:space="preserve">Prob.</w:t>
            </w:r>
          </w:p>
        </w:tc>
        <w:tc>
          <w:tcPr/>
          <w:p>
            <w:pPr>
              <w:pStyle w:val="Compact"/>
            </w:pPr>
            <w:r>
              <w:t xml:space="preserve">Value/share</w:t>
            </w:r>
          </w:p>
        </w:tc>
        <w:tc>
          <w:tcPr/>
          <w:p>
            <w:pPr>
              <w:pStyle w:val="Compact"/>
            </w:pPr>
            <w:r>
              <w:t xml:space="preserve">vs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9.5%</w:t>
            </w:r>
          </w:p>
        </w:tc>
        <w:tc>
          <w:tcPr/>
          <w:p>
            <w:pPr>
              <w:pStyle w:val="Compact"/>
            </w:pPr>
            <w:r>
              <w:t xml:space="preserve">24.0%</w:t>
            </w:r>
          </w:p>
        </w:tc>
        <w:tc>
          <w:tcPr/>
          <w:p>
            <w:pPr>
              <w:pStyle w:val="Compact"/>
            </w:pPr>
            <w:r>
              <w:t xml:space="preserve">13.5%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$30.15</w:t>
            </w:r>
          </w:p>
        </w:tc>
        <w:tc>
          <w:tcPr/>
          <w:p>
            <w:pPr>
              <w:pStyle w:val="Compact"/>
            </w:pPr>
            <w:r>
              <w:t xml:space="preserve">-84.1%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18.9%</w:t>
            </w:r>
          </w:p>
        </w:tc>
        <w:tc>
          <w:tcPr/>
          <w:p>
            <w:pPr>
              <w:pStyle w:val="Compact"/>
            </w:pPr>
            <w:r>
              <w:t xml:space="preserve">30.0%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$60.98</w:t>
            </w:r>
          </w:p>
        </w:tc>
        <w:tc>
          <w:tcPr/>
          <w:p>
            <w:pPr>
              <w:pStyle w:val="Compact"/>
            </w:pPr>
            <w:r>
              <w:t xml:space="preserve">-67.9%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24.6%</w:t>
            </w:r>
          </w:p>
        </w:tc>
        <w:tc>
          <w:tcPr/>
          <w:p>
            <w:pPr>
              <w:pStyle w:val="Compact"/>
            </w:pPr>
            <w:r>
              <w:t xml:space="preserve">34.5%</w:t>
            </w:r>
          </w:p>
        </w:tc>
        <w:tc>
          <w:tcPr/>
          <w:p>
            <w:pPr>
              <w:pStyle w:val="Compact"/>
            </w:pPr>
            <w:r>
              <w:t xml:space="preserve">12.0%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$96.12</w:t>
            </w:r>
          </w:p>
        </w:tc>
        <w:tc>
          <w:tcPr/>
          <w:p>
            <w:pPr>
              <w:pStyle w:val="Compact"/>
            </w:pPr>
            <w:r>
              <w:t xml:space="preserve">-49.4%</w:t>
            </w:r>
          </w:p>
        </w:tc>
      </w:tr>
    </w:tbl>
    <w:p>
      <w:pPr>
        <w:pStyle w:val="BodyText"/>
      </w:pPr>
      <w:r>
        <w:t xml:space="preserve">Probability-weighted value</w:t>
      </w:r>
      <w:r>
        <w:t xml:space="preserve"> </w:t>
      </w:r>
      <w:r>
        <w:rPr>
          <w:b/>
          <w:bCs/>
        </w:rPr>
        <w:t xml:space="preserve">$62.06</w:t>
      </w:r>
      <w:r>
        <w:t xml:space="preserve"> </w:t>
      </w:r>
      <w:r>
        <w:t xml:space="preserve">(-67.4% vs price).</w:t>
      </w:r>
    </w:p>
    <w:bookmarkEnd w:id="45"/>
    <w:bookmarkStart w:id="46" w:name="Xfc75fe43efc4114f7d3862e568337603baeb829"/>
    <w:p>
      <w:pPr>
        <w:pStyle w:val="Heading2"/>
      </w:pPr>
      <w:r>
        <w:t xml:space="preserve">8. Valuation: DCF / Reverse DCF / ROIC-WACC / comps / sensitivity</w:t>
      </w:r>
    </w:p>
    <w:p>
      <w:pPr>
        <w:pStyle w:val="Compact"/>
        <w:numPr>
          <w:ilvl w:val="0"/>
          <w:numId w:val="1013"/>
        </w:numPr>
      </w:pPr>
      <w:r>
        <w:t xml:space="preserve">Base DCF EV 80.8 bn USD; terminal share 47.5%.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Reverse DCF</w:t>
      </w:r>
      <w:r>
        <w:t xml:space="preserve">: at Base margin/WACC the price implies Y1 revenue growth ≈</w:t>
      </w:r>
      <w:r>
        <w:t xml:space="preserve"> </w:t>
      </w:r>
      <w:r>
        <w:rPr>
          <w:b/>
          <w:bCs/>
        </w:rPr>
        <w:t xml:space="preserve">50.8%</w:t>
      </w:r>
      <w:r>
        <w:t xml:space="preserve"> </w:t>
      </w:r>
      <w:r>
        <w:t xml:space="preserve">vs consensus FY+1 18.9%.</w:t>
      </w:r>
    </w:p>
    <w:p>
      <w:pPr>
        <w:pStyle w:val="Compact"/>
        <w:numPr>
          <w:ilvl w:val="0"/>
          <w:numId w:val="1013"/>
        </w:numPr>
      </w:pPr>
      <w:r>
        <w:t xml:space="preserve">WACC (CAPM) = rf 5.2% + β 1.45 × ERP 5.0% = 12.5%.</w:t>
      </w:r>
    </w:p>
    <w:p>
      <w:pPr>
        <w:pStyle w:val="Compact"/>
        <w:numPr>
          <w:ilvl w:val="0"/>
          <w:numId w:val="1013"/>
        </w:numPr>
      </w:pPr>
      <w:r>
        <w:t xml:space="preserve">SOTP segments: Semiconductor process control </w:t>
      </w:r>
      <w:r>
        <w:rPr>
          <w:rFonts w:hint="eastAsia"/>
        </w:rPr>
        <w:t xml:space="preserve">半导体过程控制;</w:t>
      </w:r>
      <w:r>
        <w:t xml:space="preserve"> Specialty semi process </w:t>
      </w:r>
      <w:r>
        <w:rPr>
          <w:rFonts w:hint="eastAsia"/>
        </w:rPr>
        <w:t xml:space="preserve">特种工艺;</w:t>
      </w:r>
      <w:r>
        <w:t xml:space="preserve"> PCB &amp; component inspection </w:t>
      </w:r>
      <w:r>
        <w:rPr>
          <w:rFonts w:hint="eastAsia"/>
        </w:rPr>
        <w:t xml:space="preserve">PCB检测</w:t>
      </w:r>
      <w:r>
        <w:t xml:space="preserve"> — framework only; segment revenue inputs pending from filings.</w:t>
      </w:r>
    </w:p>
    <w:p>
      <w:pPr>
        <w:pStyle w:val="Compact"/>
        <w:numPr>
          <w:ilvl w:val="0"/>
          <w:numId w:val="1013"/>
        </w:numPr>
      </w:pPr>
      <w:r>
        <w:t xml:space="preserve">Comps (DATA): see table in Chinese section / Excel</w:t>
      </w:r>
      <w:r>
        <w:t xml:space="preserve"> </w:t>
      </w:r>
      <w:r>
        <w:rPr>
          <w:rStyle w:val="VerbatimChar"/>
        </w:rPr>
        <w:t xml:space="preserve">Comps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Sensitivity: 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t xml:space="preserve">(WACC × terminal g).</w:t>
      </w:r>
    </w:p>
    <w:bookmarkEnd w:id="46"/>
    <w:bookmarkStart w:id="47" w:name="risks-counterarguments-falsifiers"/>
    <w:p>
      <w:pPr>
        <w:pStyle w:val="Heading2"/>
      </w:pPr>
      <w:r>
        <w:t xml:space="preserve">9. Risks, counterarguments, falsifiers</w:t>
      </w:r>
    </w:p>
    <w:p>
      <w:pPr>
        <w:pStyle w:val="FirstParagraph"/>
      </w:pPr>
      <w:r>
        <w:t xml:space="preserve">China revenue normalization, WFE </w:t>
      </w:r>
      <w:r>
        <w:rPr>
          <w:rFonts w:hint="eastAsia"/>
        </w:rPr>
        <w:t xml:space="preserve">digestion｜中国收入回落、WFE消化</w:t>
      </w:r>
      <w:r>
        <w:t xml:space="preserve"> | Falsifiers: WFE outlook cut; process-control share </w:t>
      </w:r>
      <w:r>
        <w:rPr>
          <w:rFonts w:hint="eastAsia"/>
        </w:rPr>
        <w:t xml:space="preserve">loss｜WFE展望下修；份额流失</w:t>
      </w:r>
    </w:p>
    <w:bookmarkEnd w:id="47"/>
    <w:bookmarkStart w:id="48" w:name="X5f84632c184460920f9e7b36d3f64b5580c3064"/>
    <w:p>
      <w:pPr>
        <w:pStyle w:val="Heading2"/>
      </w:pPr>
      <w:r>
        <w:t xml:space="preserve">10–12. Source Ledger / Assumption Register / Model Provenance</w:t>
      </w:r>
    </w:p>
    <w:p>
      <w:pPr>
        <w:pStyle w:val="FirstParagraph"/>
      </w:pPr>
      <w:r>
        <w:t xml:space="preserve">See tables above (shared, bilingual). - Model file:</w:t>
      </w:r>
      <w:r>
        <w:t xml:space="preserve"> </w:t>
      </w:r>
      <w:r>
        <w:rPr>
          <w:rStyle w:val="VerbatimChar"/>
        </w:rPr>
        <w:t xml:space="preserve">KLAC_model_v20261013-1622.xlsx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  <w:r>
        <w:t xml:space="preserve"> </w:t>
      </w:r>
      <w:r>
        <w:t xml:space="preserve">- 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  <w:r>
        <w:t xml:space="preserve"> </w:t>
      </w:r>
      <w:r>
        <w:t xml:space="preserve">- Data snapshot:</w:t>
      </w:r>
      <w:r>
        <w:t xml:space="preserve"> </w:t>
      </w:r>
      <w:r>
        <w:rPr>
          <w:rStyle w:val="VerbatimChar"/>
        </w:rPr>
        <w:t xml:space="preserve">data/snapshots/20261013-1622</w:t>
      </w:r>
      <w:r>
        <w:t xml:space="preserve"> </w:t>
      </w:r>
      <w:r>
        <w:t xml:space="preserve">(immutable) | Fetched 2026-10-13 16:22 SGT | Generated 2026-10-13 16:23 SGT</w:t>
      </w:r>
      <w:r>
        <w:t xml:space="preserve"> </w:t>
      </w:r>
      <w:r>
        <w:t xml:space="preserve">- Version: v20261013-1622. Prior versions are never overwritten (see company history page).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2026-10-13T08:24:37Z</dcterms:created>
  <dcterms:modified xsi:type="dcterms:W3CDTF">2026-10-13T08:24:37Z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