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b195016b0327ee9edfb617da850bb7400cfb29c"/>
    <w:p>
      <w:pPr>
        <w:pStyle w:val="Heading1"/>
      </w:pPr>
      <w:r>
        <w:t xml:space="preserve">TSLA Tesla, Inc. — </w:t>
      </w:r>
      <w:r>
        <w:rPr>
          <w:rFonts w:hint="eastAsia"/>
        </w:rPr>
        <w:t xml:space="preserve">个股深度研究</w:t>
      </w:r>
      <w:r>
        <w:t xml:space="preserve"> </w:t>
      </w:r>
      <w:r>
        <w:rPr>
          <w:rFonts w:hint="eastAsia"/>
        </w:rPr>
        <w:t xml:space="preserve">(专业中文版)</w:t>
      </w:r>
      <w:r>
        <w:t xml:space="preserve"> v20261013-1622</w:t>
      </w:r>
    </w:p>
    <w:p>
      <w:pPr>
        <w:pStyle w:val="BlockText"/>
      </w:pPr>
      <w:r>
        <w:rPr>
          <w:rFonts w:hint="eastAsia"/>
        </w:rPr>
        <w:t xml:space="preserve">数据截至</w:t>
      </w:r>
      <w:r>
        <w:t xml:space="preserve"> 2026-10-13 16:22 </w:t>
      </w:r>
      <w:r>
        <w:rPr>
          <w:rFonts w:hint="eastAsia"/>
        </w:rPr>
        <w:t xml:space="preserve">SGT｜价格</w:t>
      </w:r>
      <w:r>
        <w:t xml:space="preserve"> </w:t>
      </w:r>
      <w:r>
        <w:rPr>
          <w:rFonts w:hint="eastAsia"/>
        </w:rPr>
        <w:t xml:space="preserve">$378.03｜市值</w:t>
      </w:r>
      <w:r>
        <w:t xml:space="preserve"> 1,493.0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汽车主业利润率受价格战压缩，估值主要来自Robotaxi/FSD与Optimus期权以及储能高增长；股价对自动驾驶里程碑的叙事极度敏感(反身性强)。</w:t>
      </w:r>
    </w:p>
    <w:p>
      <w:pPr>
        <w:pStyle w:val="Compact"/>
        <w:numPr>
          <w:ilvl w:val="0"/>
          <w:numId w:val="1001"/>
        </w:numPr>
      </w:pPr>
      <w:r>
        <w:rPr>
          <w:rFonts w:hint="eastAsia"/>
          <w:b/>
          <w:bCs/>
        </w:rPr>
        <w:t xml:space="preserve">多头驱动</w:t>
      </w:r>
      <w:r>
        <w:t xml:space="preserve">: Unsupervised FSD scales across cities; Robotaxi unit economics proven; storage margins stay </w:t>
      </w:r>
      <w:r>
        <w:rPr>
          <w:rFonts w:hint="eastAsia"/>
        </w:rPr>
        <w:t xml:space="preserve">high｜无监督FSD多城扩张；Robotaxi单位经济验证；储能高毛利</w:t>
      </w:r>
    </w:p>
    <w:p>
      <w:pPr>
        <w:pStyle w:val="Compact"/>
        <w:numPr>
          <w:ilvl w:val="0"/>
          <w:numId w:val="1001"/>
        </w:numPr>
      </w:pPr>
      <w:r>
        <w:rPr>
          <w:rFonts w:hint="eastAsia"/>
          <w:b/>
          <w:bCs/>
        </w:rPr>
        <w:t xml:space="preserve">空头驱动</w:t>
      </w:r>
      <w:r>
        <w:t xml:space="preserve">: Auto volumes/margins keep falling; robotaxi incidents/regulation; key-person </w:t>
      </w:r>
      <w:r>
        <w:rPr>
          <w:rFonts w:hint="eastAsia"/>
        </w:rPr>
        <w:t xml:space="preserve">risk｜销量与毛利下滑；Robotaxi事故/监管；关键人物风险</w:t>
      </w:r>
    </w:p>
    <w:p>
      <w:pPr>
        <w:pStyle w:val="Compact"/>
        <w:numPr>
          <w:ilvl w:val="0"/>
          <w:numId w:val="1001"/>
        </w:numPr>
      </w:pPr>
      <w:r>
        <w:rPr>
          <w:rFonts w:hint="eastAsia"/>
          <w:b/>
          <w:bCs/>
        </w:rPr>
        <w:t xml:space="preserve">证伪条件</w:t>
      </w:r>
      <w:r>
        <w:rPr>
          <w:b/>
          <w:bCs/>
        </w:rPr>
        <w:t xml:space="preserve"> Falsifiers</w:t>
      </w:r>
      <w:r>
        <w:t xml:space="preserve">: Robotaxi fleet/cities not expanding by guided dates; auto GM ex-credits declining; storage deployments </w:t>
      </w:r>
      <w:r>
        <w:rPr>
          <w:rFonts w:hint="eastAsia"/>
        </w:rPr>
        <w:t xml:space="preserve">flat｜Robotaxi未按期扩张；扣除碳积分汽车毛利下降；储能装机持平</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EV / Autonomy / Robotics / Energy storage </w:t>
      </w:r>
      <w:r>
        <w:rPr>
          <w:rFonts w:hint="eastAsia"/>
        </w:rPr>
        <w:t xml:space="preserve">电动车/自动驾驶/机器人/储能</w:t>
      </w:r>
    </w:p>
    <w:p>
      <w:pPr>
        <w:pStyle w:val="Compact"/>
        <w:numPr>
          <w:ilvl w:val="0"/>
          <w:numId w:val="1002"/>
        </w:numPr>
      </w:pPr>
      <w:r>
        <w:rPr>
          <w:rFonts w:hint="eastAsia"/>
        </w:rPr>
        <w:t xml:space="preserve">业务分部</w:t>
      </w:r>
      <w:r>
        <w:t xml:space="preserve"> Segments: Automotive </w:t>
      </w:r>
      <w:r>
        <w:rPr>
          <w:rFonts w:hint="eastAsia"/>
        </w:rPr>
        <w:t xml:space="preserve">汽车；Energy</w:t>
      </w:r>
      <w:r>
        <w:t xml:space="preserve"> storage </w:t>
      </w:r>
      <w:r>
        <w:rPr>
          <w:rFonts w:hint="eastAsia"/>
        </w:rPr>
        <w:t xml:space="preserve">储能；Services</w:t>
      </w:r>
      <w:r>
        <w:t xml:space="preserve"> &amp; other </w:t>
      </w:r>
      <w:r>
        <w:rPr>
          <w:rFonts w:hint="eastAsia"/>
        </w:rPr>
        <w:t xml:space="preserve">服务；FSD/Robotaxi</w:t>
      </w:r>
      <w:r>
        <w:t xml:space="preserve"> option </w:t>
      </w:r>
      <w:r>
        <w:rPr>
          <w:rFonts w:hint="eastAsia"/>
        </w:rPr>
        <w:t xml:space="preserve">自动驾驶期权；Optimus</w:t>
      </w:r>
      <w:r>
        <w:t xml:space="preserve"> option </w:t>
      </w:r>
      <w:r>
        <w:rPr>
          <w:rFonts w:hint="eastAsia"/>
        </w:rPr>
        <w:t xml:space="preserve">人形机器人期权</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Tesla, Inc. designs, develops, manufactures, leases, and sells electric vehicles, and energy generation and storage systems in the United States, China, and internationally. The company operates in two segments, Automotive; and Energy Generation and Storage. The company offers electric vehicles, as well as sells automotive regulatory credits; and non-warranty maintenance services and collision, automotive insurance services, as well as part sales and retail merchandise sale. It also provides sedans and sport utility vehicles through direct and used vehicle sales, a network of Tesla Superchargers, and in-app upgrades; purchase financing and leasing services; services for electric vehicles through its company-owned service locations and Tesla mobile service technicians; and vehicle limited warranties and extended service plans. In addition, the company engages in the design, manufacture, i</w:t>
      </w:r>
    </w:p>
    <w:p>
      <w:pPr>
        <w:pStyle w:val="Compact"/>
        <w:numPr>
          <w:ilvl w:val="0"/>
          <w:numId w:val="1002"/>
        </w:numPr>
      </w:pPr>
      <w:r>
        <w:rPr>
          <w:rFonts w:hint="eastAsia"/>
        </w:rPr>
        <w:t xml:space="preserve">主要客户:</w:t>
      </w:r>
      <w:r>
        <w:t xml:space="preserve"> Retail auto buyers, utilities/IPPs (Megapack), FSD </w:t>
      </w:r>
      <w:r>
        <w:rPr>
          <w:rFonts w:hint="eastAsia"/>
        </w:rPr>
        <w:t xml:space="preserve">subscribers｜零售购车者、电力公司(Megapack)、FSD订阅</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Battery cells (Panasonic, LGES, CATL), chips (TSMC/Samsung for AI5), </w:t>
      </w:r>
      <w:r>
        <w:rPr>
          <w:rFonts w:hint="eastAsia"/>
        </w:rPr>
        <w:t xml:space="preserve">lithium｜电芯(松下、LGES、宁德)、芯片(台积电/三星)、锂</w:t>
      </w:r>
    </w:p>
    <w:p>
      <w:pPr>
        <w:pStyle w:val="Compact"/>
        <w:numPr>
          <w:ilvl w:val="0"/>
          <w:numId w:val="1003"/>
        </w:numPr>
      </w:pPr>
      <w:r>
        <w:rPr>
          <w:rFonts w:hint="eastAsia"/>
        </w:rPr>
        <w:t xml:space="preserve">竞争者</w:t>
      </w:r>
      <w:r>
        <w:t xml:space="preserve"> </w:t>
      </w:r>
      <w:r>
        <w:rPr>
          <w:rFonts w:hint="eastAsia"/>
        </w:rPr>
        <w:t xml:space="preserve">(含业外):</w:t>
      </w:r>
      <w:r>
        <w:t xml:space="preserve"> BYD, Geely, Waymo (robotaxi), Zoox, Chinese EV makers; Fluence/Sungrow in </w:t>
      </w:r>
      <w:r>
        <w:rPr>
          <w:rFonts w:hint="eastAsia"/>
        </w:rPr>
        <w:t xml:space="preserve">storage｜比亚迪、吉利、Waymo、Zoox；储能对手Fluence/阳光电源</w:t>
      </w:r>
    </w:p>
    <w:p>
      <w:pPr>
        <w:pStyle w:val="Compact"/>
        <w:numPr>
          <w:ilvl w:val="0"/>
          <w:numId w:val="1003"/>
        </w:numPr>
      </w:pPr>
      <w:r>
        <w:rPr>
          <w:rFonts w:hint="eastAsia"/>
        </w:rPr>
        <w:t xml:space="preserve">瓶颈/监管:</w:t>
      </w:r>
      <w:r>
        <w:t xml:space="preserve"> Robotaxi regulation (state/NHTSA), FSD safety data, cell </w:t>
      </w:r>
      <w:r>
        <w:rPr>
          <w:rFonts w:hint="eastAsia"/>
        </w:rPr>
        <w:t xml:space="preserve">supply/tariffs｜Robotaxi法规(州/NHTSA)、FSD安全数据、电芯供应与关税</w:t>
      </w:r>
    </w:p>
    <w:p>
      <w:pPr>
        <w:pStyle w:val="Compact"/>
        <w:numPr>
          <w:ilvl w:val="0"/>
          <w:numId w:val="1003"/>
        </w:numPr>
      </w:pPr>
      <w:r>
        <w:rPr>
          <w:rFonts w:hint="eastAsia"/>
        </w:rPr>
        <w:t xml:space="preserve">关键KPI:</w:t>
      </w:r>
      <w:r>
        <w:t xml:space="preserve"> Deliveries, auto GM ex-credits, storage GWh, FSD miles, robotaxi </w:t>
      </w:r>
      <w:r>
        <w:rPr>
          <w:rFonts w:hint="eastAsia"/>
        </w:rPr>
        <w:t xml:space="preserve">cities｜交付量、扣碳积分毛利、储能GWh、FSD里程、Robotaxi城市数</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28.2 bn USD</w:t>
            </w:r>
          </w:p>
        </w:tc>
        <w:tc>
          <w:tcPr/>
          <w:p>
            <w:pPr>
              <w:pStyle w:val="Compact"/>
            </w:pPr>
            <w:r>
              <w:t xml:space="preserve">4.8 bn USD</w:t>
            </w:r>
          </w:p>
        </w:tc>
        <w:tc>
          <w:tcPr/>
          <w:p>
            <w:pPr>
              <w:pStyle w:val="Compact"/>
            </w:pPr>
            <w:r>
              <w:t xml:space="preserve">0.4 bn USD</w:t>
            </w:r>
          </w:p>
        </w:tc>
        <w:tc>
          <w:tcPr/>
          <w:p>
            <w:pPr>
              <w:pStyle w:val="Compact"/>
            </w:pPr>
            <w:r>
              <w:t xml:space="preserve">1.1 bn USD</w:t>
            </w:r>
          </w:p>
        </w:tc>
        <w:tc>
          <w:tcPr/>
          <w:p>
            <w:pPr>
              <w:pStyle w:val="Compact"/>
            </w:pPr>
            <w:r>
              <w:t xml:space="preserve">-1.1 bn USD</w:t>
            </w:r>
          </w:p>
        </w:tc>
        <w:tc>
          <w:tcPr/>
          <w:p>
            <w:pPr>
              <w:pStyle w:val="Compact"/>
            </w:pPr>
            <w:r>
              <w:t xml:space="preserve">1.4%</w:t>
            </w:r>
          </w:p>
        </w:tc>
      </w:tr>
      <w:tr>
        <w:tc>
          <w:tcPr/>
          <w:p>
            <w:pPr>
              <w:pStyle w:val="Compact"/>
            </w:pPr>
            <w:r>
              <w:t xml:space="preserve">2026-03-31</w:t>
            </w:r>
          </w:p>
        </w:tc>
        <w:tc>
          <w:tcPr/>
          <w:p>
            <w:pPr>
              <w:pStyle w:val="Compact"/>
            </w:pPr>
            <w:r>
              <w:t xml:space="preserve">22.4 bn USD</w:t>
            </w:r>
          </w:p>
        </w:tc>
        <w:tc>
          <w:tcPr/>
          <w:p>
            <w:pPr>
              <w:pStyle w:val="Compact"/>
            </w:pPr>
            <w:r>
              <w:t xml:space="preserve">4.7 bn USD</w:t>
            </w:r>
          </w:p>
        </w:tc>
        <w:tc>
          <w:tcPr/>
          <w:p>
            <w:pPr>
              <w:pStyle w:val="Compact"/>
            </w:pPr>
            <w:r>
              <w:t xml:space="preserve">0.9 bn USD</w:t>
            </w:r>
          </w:p>
        </w:tc>
        <w:tc>
          <w:tcPr/>
          <w:p>
            <w:pPr>
              <w:pStyle w:val="Compact"/>
            </w:pPr>
            <w:r>
              <w:t xml:space="preserve">0.5 bn USD</w:t>
            </w:r>
          </w:p>
        </w:tc>
        <w:tc>
          <w:tcPr/>
          <w:p>
            <w:pPr>
              <w:pStyle w:val="Compact"/>
            </w:pPr>
            <w:r>
              <w:t xml:space="preserve">1.4 bn USD</w:t>
            </w:r>
          </w:p>
        </w:tc>
        <w:tc>
          <w:tcPr/>
          <w:p>
            <w:pPr>
              <w:pStyle w:val="Compact"/>
            </w:pPr>
            <w:r>
              <w:t xml:space="preserve">4.2%</w:t>
            </w:r>
          </w:p>
        </w:tc>
      </w:tr>
      <w:tr>
        <w:tc>
          <w:tcPr/>
          <w:p>
            <w:pPr>
              <w:pStyle w:val="Compact"/>
            </w:pPr>
            <w:r>
              <w:t xml:space="preserve">2025-12-31</w:t>
            </w:r>
          </w:p>
        </w:tc>
        <w:tc>
          <w:tcPr/>
          <w:p>
            <w:pPr>
              <w:pStyle w:val="Compact"/>
            </w:pPr>
            <w:r>
              <w:t xml:space="preserve">24.9 bn USD</w:t>
            </w:r>
          </w:p>
        </w:tc>
        <w:tc>
          <w:tcPr/>
          <w:p>
            <w:pPr>
              <w:pStyle w:val="Compact"/>
            </w:pPr>
            <w:r>
              <w:t xml:space="preserve">5.0 bn USD</w:t>
            </w:r>
          </w:p>
        </w:tc>
        <w:tc>
          <w:tcPr/>
          <w:p>
            <w:pPr>
              <w:pStyle w:val="Compact"/>
            </w:pPr>
            <w:r>
              <w:t xml:space="preserve">1.6 bn USD</w:t>
            </w:r>
          </w:p>
        </w:tc>
        <w:tc>
          <w:tcPr/>
          <w:p>
            <w:pPr>
              <w:pStyle w:val="Compact"/>
            </w:pPr>
            <w:r>
              <w:t xml:space="preserve">0.8 bn USD</w:t>
            </w:r>
          </w:p>
        </w:tc>
        <w:tc>
          <w:tcPr/>
          <w:p>
            <w:pPr>
              <w:pStyle w:val="Compact"/>
            </w:pPr>
            <w:r>
              <w:t xml:space="preserve">1.4 bn USD</w:t>
            </w:r>
          </w:p>
        </w:tc>
        <w:tc>
          <w:tcPr/>
          <w:p>
            <w:pPr>
              <w:pStyle w:val="Compact"/>
            </w:pPr>
            <w:r>
              <w:t xml:space="preserve">6.3%</w:t>
            </w:r>
          </w:p>
        </w:tc>
      </w:tr>
      <w:tr>
        <w:tc>
          <w:tcPr/>
          <w:p>
            <w:pPr>
              <w:pStyle w:val="Compact"/>
            </w:pPr>
            <w:r>
              <w:t xml:space="preserve">2025-09-30</w:t>
            </w:r>
          </w:p>
        </w:tc>
        <w:tc>
          <w:tcPr/>
          <w:p>
            <w:pPr>
              <w:pStyle w:val="Compact"/>
            </w:pPr>
            <w:r>
              <w:t xml:space="preserve">28.1 bn USD</w:t>
            </w:r>
          </w:p>
        </w:tc>
        <w:tc>
          <w:tcPr/>
          <w:p>
            <w:pPr>
              <w:pStyle w:val="Compact"/>
            </w:pPr>
            <w:r>
              <w:t xml:space="preserve">5.1 bn USD</w:t>
            </w:r>
          </w:p>
        </w:tc>
        <w:tc>
          <w:tcPr/>
          <w:p>
            <w:pPr>
              <w:pStyle w:val="Compact"/>
            </w:pPr>
            <w:r>
              <w:t xml:space="preserve">1.9 bn USD</w:t>
            </w:r>
          </w:p>
        </w:tc>
        <w:tc>
          <w:tcPr/>
          <w:p>
            <w:pPr>
              <w:pStyle w:val="Compact"/>
            </w:pPr>
            <w:r>
              <w:t xml:space="preserve">1.4 bn USD</w:t>
            </w:r>
          </w:p>
        </w:tc>
        <w:tc>
          <w:tcPr/>
          <w:p>
            <w:pPr>
              <w:pStyle w:val="Compact"/>
            </w:pPr>
            <w:r>
              <w:t xml:space="preserve">4.0 bn USD</w:t>
            </w:r>
          </w:p>
        </w:tc>
        <w:tc>
          <w:tcPr/>
          <w:p>
            <w:pPr>
              <w:pStyle w:val="Compact"/>
            </w:pPr>
            <w:r>
              <w:t xml:space="preserve">6.6%</w:t>
            </w:r>
          </w:p>
        </w:tc>
      </w:tr>
      <w:tr>
        <w:tc>
          <w:tcPr/>
          <w:p>
            <w:pPr>
              <w:pStyle w:val="Compact"/>
            </w:pPr>
            <w:r>
              <w:t xml:space="preserve">2025-06-30</w:t>
            </w:r>
          </w:p>
        </w:tc>
        <w:tc>
          <w:tcPr/>
          <w:p>
            <w:pPr>
              <w:pStyle w:val="Compact"/>
            </w:pPr>
            <w:r>
              <w:t xml:space="preserve">22.5 bn USD</w:t>
            </w:r>
          </w:p>
        </w:tc>
        <w:tc>
          <w:tcPr/>
          <w:p>
            <w:pPr>
              <w:pStyle w:val="Compact"/>
            </w:pPr>
            <w:r>
              <w:t xml:space="preserve">3.9 bn USD</w:t>
            </w:r>
          </w:p>
        </w:tc>
        <w:tc>
          <w:tcPr/>
          <w:p>
            <w:pPr>
              <w:pStyle w:val="Compact"/>
            </w:pPr>
            <w:r>
              <w:t xml:space="preserve">0.9 bn USD</w:t>
            </w:r>
          </w:p>
        </w:tc>
        <w:tc>
          <w:tcPr/>
          <w:p>
            <w:pPr>
              <w:pStyle w:val="Compact"/>
            </w:pPr>
            <w:r>
              <w:t xml:space="preserve">1.2 bn USD</w:t>
            </w:r>
          </w:p>
        </w:tc>
        <w:tc>
          <w:tcPr/>
          <w:p>
            <w:pPr>
              <w:pStyle w:val="Compact"/>
            </w:pPr>
            <w:r>
              <w:t xml:space="preserve">0.1 bn USD</w:t>
            </w:r>
          </w:p>
        </w:tc>
        <w:tc>
          <w:tcPr/>
          <w:p>
            <w:pPr>
              <w:pStyle w:val="Compact"/>
            </w:pPr>
            <w:r>
              <w:t xml:space="preserve">4.1%</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43.5 bn </w:t>
      </w:r>
      <w:r>
        <w:rPr>
          <w:rFonts w:hint="eastAsia"/>
        </w:rPr>
        <w:t xml:space="preserve">USD；总负债</w:t>
      </w:r>
      <w:r>
        <w:t xml:space="preserve"> 16.1 bn </w:t>
      </w:r>
      <w:r>
        <w:rPr>
          <w:rFonts w:hint="eastAsia"/>
        </w:rPr>
        <w:t xml:space="preserve">USD；净现金</w:t>
      </w:r>
      <w:r>
        <w:t xml:space="preserve"> 27.4 bn USD。TTM FCF 5.8 bn </w:t>
      </w:r>
      <w:r>
        <w:rPr>
          <w:rFonts w:hint="eastAsia"/>
        </w:rPr>
        <w:t xml:space="preserve">USD（FCF率</w:t>
      </w:r>
      <w:r>
        <w:t xml:space="preserve"> </w:t>
      </w:r>
      <w:r>
        <w:rPr>
          <w:rFonts w:hint="eastAsia"/>
        </w:rPr>
        <w:t xml:space="preserve">5.6%）。</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0.5</w:t>
            </w:r>
          </w:p>
        </w:tc>
        <w:tc>
          <w:tcPr/>
          <w:p>
            <w:pPr>
              <w:pStyle w:val="Compact"/>
            </w:pPr>
            <w:r>
              <w:t xml:space="preserve">0.55885</w:t>
            </w:r>
          </w:p>
        </w:tc>
        <w:tc>
          <w:tcPr/>
          <w:p>
            <w:pPr>
              <w:pStyle w:val="Compact"/>
            </w:pPr>
            <w:r>
              <w:t xml:space="preserve">-0.105299994</w:t>
            </w:r>
          </w:p>
        </w:tc>
      </w:tr>
      <w:tr>
        <w:tc>
          <w:tcPr/>
          <w:p>
            <w:pPr>
              <w:pStyle w:val="Compact"/>
            </w:pPr>
            <w:r>
              <w:t xml:space="preserve">2025-12-31</w:t>
            </w:r>
          </w:p>
        </w:tc>
        <w:tc>
          <w:tcPr/>
          <w:p>
            <w:pPr>
              <w:pStyle w:val="Compact"/>
            </w:pPr>
            <w:r>
              <w:t xml:space="preserve">0.5</w:t>
            </w:r>
          </w:p>
        </w:tc>
        <w:tc>
          <w:tcPr/>
          <w:p>
            <w:pPr>
              <w:pStyle w:val="Compact"/>
            </w:pPr>
            <w:r>
              <w:t xml:space="preserve">0.45061</w:t>
            </w:r>
          </w:p>
        </w:tc>
        <w:tc>
          <w:tcPr/>
          <w:p>
            <w:pPr>
              <w:pStyle w:val="Compact"/>
            </w:pPr>
            <w:r>
              <w:t xml:space="preserve">0.1096</w:t>
            </w:r>
          </w:p>
        </w:tc>
      </w:tr>
      <w:tr>
        <w:tc>
          <w:tcPr/>
          <w:p>
            <w:pPr>
              <w:pStyle w:val="Compact"/>
            </w:pPr>
            <w:r>
              <w:t xml:space="preserve">2026-03-31</w:t>
            </w:r>
          </w:p>
        </w:tc>
        <w:tc>
          <w:tcPr/>
          <w:p>
            <w:pPr>
              <w:pStyle w:val="Compact"/>
            </w:pPr>
            <w:r>
              <w:t xml:space="preserve">0.41</w:t>
            </w:r>
          </w:p>
        </w:tc>
        <w:tc>
          <w:tcPr/>
          <w:p>
            <w:pPr>
              <w:pStyle w:val="Compact"/>
            </w:pPr>
            <w:r>
              <w:t xml:space="preserve">0.34999</w:t>
            </w:r>
          </w:p>
        </w:tc>
        <w:tc>
          <w:tcPr/>
          <w:p>
            <w:pPr>
              <w:pStyle w:val="Compact"/>
            </w:pPr>
            <w:r>
              <w:t xml:space="preserve">0.1715</w:t>
            </w:r>
          </w:p>
        </w:tc>
      </w:tr>
      <w:tr>
        <w:tc>
          <w:tcPr/>
          <w:p>
            <w:pPr>
              <w:pStyle w:val="Compact"/>
            </w:pPr>
            <w:r>
              <w:t xml:space="preserve">2026-06-30</w:t>
            </w:r>
          </w:p>
        </w:tc>
        <w:tc>
          <w:tcPr/>
          <w:p>
            <w:pPr>
              <w:pStyle w:val="Compact"/>
            </w:pPr>
            <w:r>
              <w:t xml:space="preserve">0.33</w:t>
            </w:r>
          </w:p>
        </w:tc>
        <w:tc>
          <w:tcPr/>
          <w:p>
            <w:pPr>
              <w:pStyle w:val="Compact"/>
            </w:pPr>
            <w:r>
              <w:t xml:space="preserve">0.54236</w:t>
            </w:r>
          </w:p>
        </w:tc>
        <w:tc>
          <w:tcPr/>
          <w:p>
            <w:pPr>
              <w:pStyle w:val="Compact"/>
            </w:pPr>
            <w:r>
              <w:t xml:space="preserve">-0.39150003</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2026-10-22</w:t>
      </w:r>
      <w:r>
        <w:rPr>
          <w:rFonts w:hint="eastAsia"/>
        </w:rPr>
        <w:t xml:space="preserve">；本季EPS一致预期</w:t>
      </w:r>
      <w:r>
        <w:t xml:space="preserve"> </w:t>
      </w:r>
      <w:r>
        <w:rPr>
          <w:rFonts w:hint="eastAsia"/>
        </w:rPr>
        <w:t xml:space="preserve">0.44952（24位分析师）；收入一致预期</w:t>
      </w:r>
      <w:r>
        <w:t xml:space="preserve"> 28.1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$32.06</w:t>
            </w:r>
          </w:p>
        </w:tc>
        <w:tc>
          <w:tcPr/>
          <w:p>
            <w:pPr>
              <w:pStyle w:val="Compact"/>
            </w:pPr>
            <w:r>
              <w:t xml:space="preserve">-91.5%</w:t>
            </w:r>
          </w:p>
        </w:tc>
      </w:tr>
      <w:tr>
        <w:tc>
          <w:tcPr/>
          <w:p>
            <w:pPr>
              <w:pStyle w:val="Compact"/>
            </w:pPr>
            <w:r>
              <w:t xml:space="preserve">2Q</w:t>
            </w:r>
          </w:p>
        </w:tc>
        <w:tc>
          <w:tcPr/>
          <w:p>
            <w:pPr>
              <w:pStyle w:val="Compact"/>
            </w:pPr>
            <w:r>
              <w:t xml:space="preserve">Base</w:t>
            </w:r>
          </w:p>
        </w:tc>
        <w:tc>
          <w:tcPr/>
          <w:p>
            <w:pPr>
              <w:pStyle w:val="Compact"/>
            </w:pPr>
            <w:r>
              <w:t xml:space="preserve">$57.95</w:t>
            </w:r>
          </w:p>
        </w:tc>
        <w:tc>
          <w:tcPr/>
          <w:p>
            <w:pPr>
              <w:pStyle w:val="Compact"/>
            </w:pPr>
            <w:r>
              <w:t xml:space="preserve">-84.7%</w:t>
            </w:r>
          </w:p>
        </w:tc>
      </w:tr>
      <w:tr>
        <w:tc>
          <w:tcPr/>
          <w:p>
            <w:pPr>
              <w:pStyle w:val="Compact"/>
            </w:pPr>
            <w:r>
              <w:t xml:space="preserve">2Q</w:t>
            </w:r>
          </w:p>
        </w:tc>
        <w:tc>
          <w:tcPr/>
          <w:p>
            <w:pPr>
              <w:pStyle w:val="Compact"/>
            </w:pPr>
            <w:r>
              <w:t xml:space="preserve">Bull</w:t>
            </w:r>
          </w:p>
        </w:tc>
        <w:tc>
          <w:tcPr/>
          <w:p>
            <w:pPr>
              <w:pStyle w:val="Compact"/>
            </w:pPr>
            <w:r>
              <w:t xml:space="preserve">$87.59</w:t>
            </w:r>
          </w:p>
        </w:tc>
        <w:tc>
          <w:tcPr/>
          <w:p>
            <w:pPr>
              <w:pStyle w:val="Compact"/>
            </w:pPr>
            <w:r>
              <w:t xml:space="preserve">-76.8%</w:t>
            </w:r>
          </w:p>
        </w:tc>
      </w:tr>
      <w:tr>
        <w:tc>
          <w:tcPr/>
          <w:p>
            <w:pPr>
              <w:pStyle w:val="Compact"/>
            </w:pPr>
            <w:r>
              <w:t xml:space="preserve">4Q</w:t>
            </w:r>
          </w:p>
        </w:tc>
        <w:tc>
          <w:tcPr/>
          <w:p>
            <w:pPr>
              <w:pStyle w:val="Compact"/>
            </w:pPr>
            <w:r>
              <w:t xml:space="preserve">Bear</w:t>
            </w:r>
          </w:p>
        </w:tc>
        <w:tc>
          <w:tcPr/>
          <w:p>
            <w:pPr>
              <w:pStyle w:val="Compact"/>
            </w:pPr>
            <w:r>
              <w:t xml:space="preserve">$31.76</w:t>
            </w:r>
          </w:p>
        </w:tc>
        <w:tc>
          <w:tcPr/>
          <w:p>
            <w:pPr>
              <w:pStyle w:val="Compact"/>
            </w:pPr>
            <w:r>
              <w:t xml:space="preserve">-91.6%</w:t>
            </w:r>
          </w:p>
        </w:tc>
      </w:tr>
      <w:tr>
        <w:tc>
          <w:tcPr/>
          <w:p>
            <w:pPr>
              <w:pStyle w:val="Compact"/>
            </w:pPr>
            <w:r>
              <w:t xml:space="preserve">4Q</w:t>
            </w:r>
          </w:p>
        </w:tc>
        <w:tc>
          <w:tcPr/>
          <w:p>
            <w:pPr>
              <w:pStyle w:val="Compact"/>
            </w:pPr>
            <w:r>
              <w:t xml:space="preserve">Base</w:t>
            </w:r>
          </w:p>
        </w:tc>
        <w:tc>
          <w:tcPr/>
          <w:p>
            <w:pPr>
              <w:pStyle w:val="Compact"/>
            </w:pPr>
            <w:r>
              <w:t xml:space="preserve">$60.97</w:t>
            </w:r>
          </w:p>
        </w:tc>
        <w:tc>
          <w:tcPr/>
          <w:p>
            <w:pPr>
              <w:pStyle w:val="Compact"/>
            </w:pPr>
            <w:r>
              <w:t xml:space="preserve">-83.9%</w:t>
            </w:r>
          </w:p>
        </w:tc>
      </w:tr>
      <w:tr>
        <w:tc>
          <w:tcPr/>
          <w:p>
            <w:pPr>
              <w:pStyle w:val="Compact"/>
            </w:pPr>
            <w:r>
              <w:t xml:space="preserve">4Q</w:t>
            </w:r>
          </w:p>
        </w:tc>
        <w:tc>
          <w:tcPr/>
          <w:p>
            <w:pPr>
              <w:pStyle w:val="Compact"/>
            </w:pPr>
            <w:r>
              <w:t xml:space="preserve">Bull</w:t>
            </w:r>
          </w:p>
        </w:tc>
        <w:tc>
          <w:tcPr/>
          <w:p>
            <w:pPr>
              <w:pStyle w:val="Compact"/>
            </w:pPr>
            <w:r>
              <w:t xml:space="preserve">$95.69</w:t>
            </w:r>
          </w:p>
        </w:tc>
        <w:tc>
          <w:tcPr/>
          <w:p>
            <w:pPr>
              <w:pStyle w:val="Compact"/>
            </w:pPr>
            <w:r>
              <w:t xml:space="preserve">-74.7%</w:t>
            </w:r>
          </w:p>
        </w:tc>
      </w:tr>
      <w:tr>
        <w:tc>
          <w:tcPr/>
          <w:p>
            <w:pPr>
              <w:pStyle w:val="Compact"/>
            </w:pPr>
            <w:r>
              <w:t xml:space="preserve">6Q</w:t>
            </w:r>
          </w:p>
        </w:tc>
        <w:tc>
          <w:tcPr/>
          <w:p>
            <w:pPr>
              <w:pStyle w:val="Compact"/>
            </w:pPr>
            <w:r>
              <w:t xml:space="preserve">Bear</w:t>
            </w:r>
          </w:p>
        </w:tc>
        <w:tc>
          <w:tcPr/>
          <w:p>
            <w:pPr>
              <w:pStyle w:val="Compact"/>
            </w:pPr>
            <w:r>
              <w:t xml:space="preserve">$31.45</w:t>
            </w:r>
          </w:p>
        </w:tc>
        <w:tc>
          <w:tcPr/>
          <w:p>
            <w:pPr>
              <w:pStyle w:val="Compact"/>
            </w:pPr>
            <w:r>
              <w:t xml:space="preserve">-91.7%</w:t>
            </w:r>
          </w:p>
        </w:tc>
      </w:tr>
      <w:tr>
        <w:tc>
          <w:tcPr/>
          <w:p>
            <w:pPr>
              <w:pStyle w:val="Compact"/>
            </w:pPr>
            <w:r>
              <w:t xml:space="preserve">6Q</w:t>
            </w:r>
          </w:p>
        </w:tc>
        <w:tc>
          <w:tcPr/>
          <w:p>
            <w:pPr>
              <w:pStyle w:val="Compact"/>
            </w:pPr>
            <w:r>
              <w:t xml:space="preserve">Base</w:t>
            </w:r>
          </w:p>
        </w:tc>
        <w:tc>
          <w:tcPr/>
          <w:p>
            <w:pPr>
              <w:pStyle w:val="Compact"/>
            </w:pPr>
            <w:r>
              <w:t xml:space="preserve">$64.03</w:t>
            </w:r>
          </w:p>
        </w:tc>
        <w:tc>
          <w:tcPr/>
          <w:p>
            <w:pPr>
              <w:pStyle w:val="Compact"/>
            </w:pPr>
            <w:r>
              <w:t xml:space="preserve">-83.1%</w:t>
            </w:r>
          </w:p>
        </w:tc>
      </w:tr>
      <w:tr>
        <w:tc>
          <w:tcPr/>
          <w:p>
            <w:pPr>
              <w:pStyle w:val="Compact"/>
            </w:pPr>
            <w:r>
              <w:t xml:space="preserve">6Q</w:t>
            </w:r>
          </w:p>
        </w:tc>
        <w:tc>
          <w:tcPr/>
          <w:p>
            <w:pPr>
              <w:pStyle w:val="Compact"/>
            </w:pPr>
            <w:r>
              <w:t xml:space="preserve">Bull</w:t>
            </w:r>
          </w:p>
        </w:tc>
        <w:tc>
          <w:tcPr/>
          <w:p>
            <w:pPr>
              <w:pStyle w:val="Compact"/>
            </w:pPr>
            <w:r>
              <w:t xml:space="preserve">$104.15</w:t>
            </w:r>
          </w:p>
        </w:tc>
        <w:tc>
          <w:tcPr/>
          <w:p>
            <w:pPr>
              <w:pStyle w:val="Compact"/>
            </w:pPr>
            <w:r>
              <w:t xml:space="preserve">-72.4%</w:t>
            </w:r>
          </w:p>
        </w:tc>
      </w:tr>
      <w:tr>
        <w:tc>
          <w:tcPr/>
          <w:p>
            <w:pPr>
              <w:pStyle w:val="Compact"/>
            </w:pPr>
            <w:r>
              <w:t xml:space="preserve">8Q</w:t>
            </w:r>
          </w:p>
        </w:tc>
        <w:tc>
          <w:tcPr/>
          <w:p>
            <w:pPr>
              <w:pStyle w:val="Compact"/>
            </w:pPr>
            <w:r>
              <w:t xml:space="preserve">Bear</w:t>
            </w:r>
          </w:p>
        </w:tc>
        <w:tc>
          <w:tcPr/>
          <w:p>
            <w:pPr>
              <w:pStyle w:val="Compact"/>
            </w:pPr>
            <w:r>
              <w:t xml:space="preserve">$31.14</w:t>
            </w:r>
          </w:p>
        </w:tc>
        <w:tc>
          <w:tcPr/>
          <w:p>
            <w:pPr>
              <w:pStyle w:val="Compact"/>
            </w:pPr>
            <w:r>
              <w:t xml:space="preserve">-91.8%</w:t>
            </w:r>
          </w:p>
        </w:tc>
      </w:tr>
      <w:tr>
        <w:tc>
          <w:tcPr/>
          <w:p>
            <w:pPr>
              <w:pStyle w:val="Compact"/>
            </w:pPr>
            <w:r>
              <w:t xml:space="preserve">8Q</w:t>
            </w:r>
          </w:p>
        </w:tc>
        <w:tc>
          <w:tcPr/>
          <w:p>
            <w:pPr>
              <w:pStyle w:val="Compact"/>
            </w:pPr>
            <w:r>
              <w:t xml:space="preserve">Base</w:t>
            </w:r>
          </w:p>
        </w:tc>
        <w:tc>
          <w:tcPr/>
          <w:p>
            <w:pPr>
              <w:pStyle w:val="Compact"/>
            </w:pPr>
            <w:r>
              <w:t xml:space="preserve">$67.12</w:t>
            </w:r>
          </w:p>
        </w:tc>
        <w:tc>
          <w:tcPr/>
          <w:p>
            <w:pPr>
              <w:pStyle w:val="Compact"/>
            </w:pPr>
            <w:r>
              <w:t xml:space="preserve">-82.2%</w:t>
            </w:r>
          </w:p>
        </w:tc>
      </w:tr>
      <w:tr>
        <w:tc>
          <w:tcPr/>
          <w:p>
            <w:pPr>
              <w:pStyle w:val="Compact"/>
            </w:pPr>
            <w:r>
              <w:t xml:space="preserve">8Q</w:t>
            </w:r>
          </w:p>
        </w:tc>
        <w:tc>
          <w:tcPr/>
          <w:p>
            <w:pPr>
              <w:pStyle w:val="Compact"/>
            </w:pPr>
            <w:r>
              <w:t xml:space="preserve">Bull</w:t>
            </w:r>
          </w:p>
        </w:tc>
        <w:tc>
          <w:tcPr/>
          <w:p>
            <w:pPr>
              <w:pStyle w:val="Compact"/>
            </w:pPr>
            <w:r>
              <w:t xml:space="preserve">$112.97</w:t>
            </w:r>
          </w:p>
        </w:tc>
        <w:tc>
          <w:tcPr/>
          <w:p>
            <w:pPr>
              <w:pStyle w:val="Compact"/>
            </w:pPr>
            <w:r>
              <w:t xml:space="preserve">-70.1%</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169.6x</w:t>
            </w:r>
          </w:p>
        </w:tc>
      </w:tr>
      <w:tr>
        <w:tc>
          <w:tcPr/>
          <w:p>
            <w:pPr>
              <w:pStyle w:val="Compact"/>
            </w:pPr>
            <w:r>
              <w:t xml:space="preserve">4Q</w:t>
            </w:r>
          </w:p>
        </w:tc>
        <w:tc>
          <w:tcPr/>
          <w:p>
            <w:pPr>
              <w:pStyle w:val="Compact"/>
            </w:pPr>
            <w:r>
              <w:t xml:space="preserve">149.4x</w:t>
            </w:r>
          </w:p>
        </w:tc>
      </w:tr>
      <w:tr>
        <w:tc>
          <w:tcPr/>
          <w:p>
            <w:pPr>
              <w:pStyle w:val="Compact"/>
            </w:pPr>
            <w:r>
              <w:t xml:space="preserve">6Q</w:t>
            </w:r>
          </w:p>
        </w:tc>
        <w:tc>
          <w:tcPr/>
          <w:p>
            <w:pPr>
              <w:pStyle w:val="Compact"/>
            </w:pPr>
            <w:r>
              <w:t xml:space="preserve">132.2x</w:t>
            </w:r>
          </w:p>
        </w:tc>
      </w:tr>
      <w:tr>
        <w:tc>
          <w:tcPr/>
          <w:p>
            <w:pPr>
              <w:pStyle w:val="Compact"/>
            </w:pPr>
            <w:r>
              <w:t xml:space="preserve">8Q</w:t>
            </w:r>
          </w:p>
        </w:tc>
        <w:tc>
          <w:tcPr/>
          <w:p>
            <w:pPr>
              <w:pStyle w:val="Compact"/>
            </w:pPr>
            <w:r>
              <w:t xml:space="preserve">117.3x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6.8%</w:t>
            </w:r>
          </w:p>
        </w:tc>
        <w:tc>
          <w:tcPr/>
          <w:p>
            <w:pPr>
              <w:pStyle w:val="Compact"/>
            </w:pPr>
            <w:r>
              <w:t xml:space="preserve">8.0%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$27.39</w:t>
            </w:r>
          </w:p>
        </w:tc>
        <w:tc>
          <w:tcPr/>
          <w:p>
            <w:pPr>
              <w:pStyle w:val="Compact"/>
            </w:pPr>
            <w:r>
              <w:t xml:space="preserve">-92.8%</w:t>
            </w:r>
          </w:p>
        </w:tc>
      </w:tr>
      <w:tr>
        <w:tc>
          <w:tcPr/>
          <w:p>
            <w:pPr>
              <w:pStyle w:val="Compact"/>
            </w:pPr>
            <w:r>
              <w:t xml:space="preserve">Base</w:t>
            </w:r>
          </w:p>
        </w:tc>
        <w:tc>
          <w:tcPr/>
          <w:p>
            <w:pPr>
              <w:pStyle w:val="Compact"/>
            </w:pPr>
            <w:r>
              <w:t xml:space="preserve">13.6%</w:t>
            </w:r>
          </w:p>
        </w:tc>
        <w:tc>
          <w:tcPr/>
          <w:p>
            <w:pPr>
              <w:pStyle w:val="Compact"/>
            </w:pPr>
            <w:r>
              <w:t xml:space="preserve">10.0%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$44.20</w:t>
            </w:r>
          </w:p>
        </w:tc>
        <w:tc>
          <w:tcPr/>
          <w:p>
            <w:pPr>
              <w:pStyle w:val="Compact"/>
            </w:pPr>
            <w:r>
              <w:t xml:space="preserve">-88.3%</w:t>
            </w:r>
          </w:p>
        </w:tc>
      </w:tr>
      <w:tr>
        <w:tc>
          <w:tcPr/>
          <w:p>
            <w:pPr>
              <w:pStyle w:val="Compact"/>
            </w:pPr>
            <w:r>
              <w:t xml:space="preserve">Bull</w:t>
            </w:r>
          </w:p>
        </w:tc>
        <w:tc>
          <w:tcPr/>
          <w:p>
            <w:pPr>
              <w:pStyle w:val="Compact"/>
            </w:pPr>
            <w:r>
              <w:t xml:space="preserve">17.7%</w:t>
            </w:r>
          </w:p>
        </w:tc>
        <w:tc>
          <w:tcPr/>
          <w:p>
            <w:pPr>
              <w:pStyle w:val="Compact"/>
            </w:pPr>
            <w:r>
              <w:t xml:space="preserve">11.5%</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$61.97</w:t>
            </w:r>
          </w:p>
        </w:tc>
        <w:tc>
          <w:tcPr/>
          <w:p>
            <w:pPr>
              <w:pStyle w:val="Compact"/>
            </w:pPr>
            <w:r>
              <w:t xml:space="preserve">-83.6%</w:t>
            </w:r>
          </w:p>
        </w:tc>
      </w:tr>
    </w:tbl>
    <w:p>
      <w:pPr>
        <w:pStyle w:val="BodyText"/>
      </w:pPr>
      <w:r>
        <w:rPr>
          <w:rFonts w:hint="eastAsia"/>
        </w:rPr>
        <w:t xml:space="preserve">概率加权价值</w:t>
      </w:r>
      <w:r>
        <w:t xml:space="preserve"> </w:t>
      </w:r>
      <w:r>
        <w:rPr>
          <w:b/>
          <w:bCs/>
        </w:rPr>
        <w:t xml:space="preserve">$44.44</w:t>
      </w:r>
      <w:r>
        <w:rPr>
          <w:rFonts w:hint="eastAsia"/>
        </w:rPr>
        <w:t xml:space="preserve">（相对现价</w:t>
      </w:r>
      <w:r>
        <w:t xml:space="preserve"> </w:t>
      </w:r>
      <w:r>
        <w:rPr>
          <w:rFonts w:hint="eastAsia"/>
        </w:rPr>
        <w:t xml:space="preserve">-88.2%）。</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147.1 bn </w:t>
      </w:r>
      <w:r>
        <w:rPr>
          <w:rFonts w:hint="eastAsia"/>
        </w:rPr>
        <w:t xml:space="preserve">USD；终值占比</w:t>
      </w:r>
      <w:r>
        <w:t xml:space="preserve"> 45.3%。</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80.9%</w:t>
      </w:r>
      <w:r>
        <w:rPr>
          <w:rFonts w:hint="eastAsia"/>
        </w:rPr>
        <w:t xml:space="preserve">；一致预期FY+1增速</w:t>
      </w:r>
      <w:r>
        <w:t xml:space="preserve"> 13.6%。</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Automotive </w:t>
      </w:r>
      <w:r>
        <w:rPr>
          <w:rFonts w:hint="eastAsia"/>
        </w:rPr>
        <w:t xml:space="preserve">汽车;</w:t>
      </w:r>
      <w:r>
        <w:t xml:space="preserve"> Energy storage </w:t>
      </w:r>
      <w:r>
        <w:rPr>
          <w:rFonts w:hint="eastAsia"/>
        </w:rPr>
        <w:t xml:space="preserve">储能;</w:t>
      </w:r>
      <w:r>
        <w:t xml:space="preserve"> Services &amp; other </w:t>
      </w:r>
      <w:r>
        <w:rPr>
          <w:rFonts w:hint="eastAsia"/>
        </w:rPr>
        <w:t xml:space="preserve">服务;</w:t>
      </w:r>
      <w:r>
        <w:t xml:space="preserve"> FSD/Robotaxi option </w:t>
      </w:r>
      <w:r>
        <w:rPr>
          <w:rFonts w:hint="eastAsia"/>
        </w:rPr>
        <w:t xml:space="preserve">自动驾驶期权;</w:t>
      </w:r>
      <w:r>
        <w:t xml:space="preserve"> Optimus option </w:t>
      </w:r>
      <w:r>
        <w:rPr>
          <w:rFonts w:hint="eastAsia"/>
        </w:rPr>
        <w:t xml:space="preserve">人形机器人期权.</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TSLA | 1,493.0 bn USD | 14.2x | 173.2x | 25.5% | 18.9% | 0.4% |</w:t>
      </w:r>
      <w:r>
        <w:t xml:space="preserve"> </w:t>
      </w:r>
      <w:r>
        <w:t xml:space="preserve">| BYDDY | 85.6 bn USD | 0.1x | 11.4x | -3.2% | 17.9% | -112.5% |</w:t>
      </w:r>
      <w:r>
        <w:t xml:space="preserve"> </w:t>
      </w:r>
      <w:r>
        <w:t xml:space="preserve">| GM | 72.3 bn USD | 1.0x | 5.4x | 1.9% | 10.2% | 30.3% |</w:t>
      </w:r>
      <w:r>
        <w:t xml:space="preserve"> </w:t>
      </w:r>
      <w:r>
        <w:t xml:space="preserve">| RIVN | 19.6 bn USD | 3.3x | -7.8x | 27.2% | 7.5% | -7.9% |</w:t>
      </w:r>
      <w:r>
        <w:t xml:space="preserve"> </w:t>
      </w:r>
      <w:r>
        <w:t xml:space="preserve">| UBER | 146.0 bn USD | 2.8x | 16.2x | 12.2% | 40.8% | 5.0%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Auto volumes/margins keep falling; robotaxi incidents/regulation; key-person </w:t>
      </w:r>
      <w:r>
        <w:rPr>
          <w:rFonts w:hint="eastAsia"/>
        </w:rPr>
        <w:t xml:space="preserve">risk｜销量与毛利下滑；Robotaxi事故/监管；关键人物风险</w:t>
      </w:r>
    </w:p>
    <w:p>
      <w:pPr>
        <w:pStyle w:val="Compact"/>
        <w:numPr>
          <w:ilvl w:val="0"/>
          <w:numId w:val="1006"/>
        </w:numPr>
      </w:pPr>
      <w:r>
        <w:rPr>
          <w:rFonts w:hint="eastAsia"/>
        </w:rPr>
        <w:t xml:space="preserve">证伪指标:</w:t>
      </w:r>
      <w:r>
        <w:t xml:space="preserve"> Robotaxi fleet/cities not expanding by guided dates; auto GM ex-credits declining; storage deployments </w:t>
      </w:r>
      <w:r>
        <w:rPr>
          <w:rFonts w:hint="eastAsia"/>
        </w:rPr>
        <w:t xml:space="preserve">flat｜Robotaxi未按期扩张；扣除碳积分汽车毛利下降；储能装机持平</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378</w:t>
            </w:r>
          </w:p>
        </w:tc>
        <w:tc>
          <w:tcPr/>
          <w:p>
            <w:pPr>
              <w:pStyle w:val="Compact"/>
            </w:pPr>
            <w:r>
              <w:t xml:space="preserve">Yahoo Finance quote, fetched 2026-10-13T16:22 SGT</w:t>
            </w:r>
          </w:p>
        </w:tc>
      </w:tr>
      <w:tr>
        <w:tc>
          <w:tcPr/>
          <w:p>
            <w:pPr>
              <w:pStyle w:val="Compact"/>
            </w:pPr>
            <w:r>
              <w:t xml:space="preserve">Market cap </w:t>
            </w:r>
            <w:r>
              <w:rPr>
                <w:rFonts w:hint="eastAsia"/>
              </w:rPr>
              <w:t xml:space="preserve">市值</w:t>
            </w:r>
          </w:p>
        </w:tc>
        <w:tc>
          <w:tcPr/>
          <w:p>
            <w:pPr>
              <w:pStyle w:val="Compact"/>
            </w:pPr>
            <w:r>
              <w:t xml:space="preserve">1.493e+12</w:t>
            </w:r>
          </w:p>
        </w:tc>
        <w:tc>
          <w:tcPr/>
          <w:p>
            <w:pPr>
              <w:pStyle w:val="Compact"/>
            </w:pPr>
            <w:r>
              <w:t xml:space="preserve">Yahoo info.marketCap 2026-10-13T16:22</w:t>
            </w:r>
          </w:p>
        </w:tc>
      </w:tr>
      <w:tr>
        <w:tc>
          <w:tcPr/>
          <w:p>
            <w:pPr>
              <w:pStyle w:val="Compact"/>
            </w:pPr>
            <w:r>
              <w:t xml:space="preserve">Cash </w:t>
            </w:r>
            <w:r>
              <w:rPr>
                <w:rFonts w:hint="eastAsia"/>
              </w:rPr>
              <w:t xml:space="preserve">现金</w:t>
            </w:r>
          </w:p>
        </w:tc>
        <w:tc>
          <w:tcPr/>
          <w:p>
            <w:pPr>
              <w:pStyle w:val="Compact"/>
            </w:pPr>
            <w:r>
              <w:t xml:space="preserve">4.352e+10</w:t>
            </w:r>
          </w:p>
        </w:tc>
        <w:tc>
          <w:tcPr/>
          <w:p>
            <w:pPr>
              <w:pStyle w:val="Compact"/>
            </w:pPr>
            <w:r>
              <w:t xml:space="preserve">Yahoo info.totalCash (latest filing) 2026-10-13T16:22</w:t>
            </w:r>
          </w:p>
        </w:tc>
      </w:tr>
      <w:tr>
        <w:tc>
          <w:tcPr/>
          <w:p>
            <w:pPr>
              <w:pStyle w:val="Compact"/>
            </w:pPr>
            <w:r>
              <w:t xml:space="preserve">Debt </w:t>
            </w:r>
            <w:r>
              <w:rPr>
                <w:rFonts w:hint="eastAsia"/>
              </w:rPr>
              <w:t xml:space="preserve">负债</w:t>
            </w:r>
          </w:p>
        </w:tc>
        <w:tc>
          <w:tcPr/>
          <w:p>
            <w:pPr>
              <w:pStyle w:val="Compact"/>
            </w:pPr>
            <w:r>
              <w:t xml:space="preserve">1.608e+10</w:t>
            </w:r>
          </w:p>
        </w:tc>
        <w:tc>
          <w:tcPr/>
          <w:p>
            <w:pPr>
              <w:pStyle w:val="Compact"/>
            </w:pPr>
            <w:r>
              <w:t xml:space="preserve">Yahoo info.totalDebt (latest filing) 2026-10-13T16:22</w:t>
            </w:r>
          </w:p>
        </w:tc>
      </w:tr>
      <w:tr>
        <w:tc>
          <w:tcPr/>
          <w:p>
            <w:pPr>
              <w:pStyle w:val="Compact"/>
            </w:pPr>
            <w:r>
              <w:t xml:space="preserve">Revenue TTM </w:t>
            </w:r>
            <w:r>
              <w:rPr>
                <w:rFonts w:hint="eastAsia"/>
              </w:rPr>
              <w:t xml:space="preserve">收入</w:t>
            </w:r>
          </w:p>
        </w:tc>
        <w:tc>
          <w:tcPr/>
          <w:p>
            <w:pPr>
              <w:pStyle w:val="Compact"/>
            </w:pPr>
            <w:r>
              <w:t xml:space="preserve">1.036e+11</w:t>
            </w:r>
          </w:p>
        </w:tc>
        <w:tc>
          <w:tcPr/>
          <w:p>
            <w:pPr>
              <w:pStyle w:val="Compact"/>
            </w:pPr>
            <w:r>
              <w:t xml:space="preserve">Yahoo info.totalRevenue (TTM, USD) 2026-10-13T16:22</w:t>
            </w:r>
          </w:p>
        </w:tc>
      </w:tr>
      <w:tr>
        <w:tc>
          <w:tcPr/>
          <w:p>
            <w:pPr>
              <w:pStyle w:val="Compact"/>
            </w:pPr>
            <w:r>
              <w:t xml:space="preserve">FCF TTM </w:t>
            </w:r>
            <w:r>
              <w:rPr>
                <w:rFonts w:hint="eastAsia"/>
              </w:rPr>
              <w:t xml:space="preserve">自由现金流</w:t>
            </w:r>
          </w:p>
        </w:tc>
        <w:tc>
          <w:tcPr/>
          <w:p>
            <w:pPr>
              <w:pStyle w:val="Compact"/>
            </w:pPr>
            <w:r>
              <w:t xml:space="preserve">5.755e+09</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1.916</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0.0522</w:t>
            </w:r>
          </w:p>
        </w:tc>
        <w:tc>
          <w:tcPr/>
          <w:p>
            <w:pPr>
              <w:pStyle w:val="Compact"/>
            </w:pPr>
            <w:r>
              <w:t xml:space="preserve">FRED DGS10 2026-10-08</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0.1297</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0.1362</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0.1362</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0.05554</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0.1</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TSLA_model_v20261013-1622.xlsx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data/snapshots/20261013-1622</w:t>
      </w:r>
      <w:r>
        <w:t xml:space="preserve"> </w:t>
      </w:r>
      <w:r>
        <w:t xml:space="preserve">(immutable) | Fetched 2026-10-13 16:22 SGT | Generated 2026-10-13 16:23 SGT</w:t>
      </w:r>
    </w:p>
    <w:p>
      <w:pPr>
        <w:pStyle w:val="Compact"/>
        <w:numPr>
          <w:ilvl w:val="0"/>
          <w:numId w:val="1007"/>
        </w:numPr>
      </w:pPr>
      <w:r>
        <w:t xml:space="preserve">Version: v20261013-1622.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v20261013-1622: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2026-10-22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TSLA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TSLA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TSLA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TSLA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TSLA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0c6d2e614df792373052ebe878b358f8e3aa123"/>
    <w:p>
      <w:pPr>
        <w:pStyle w:val="Heading1"/>
      </w:pPr>
      <w:r>
        <w:t xml:space="preserve">TSLA Tesla, Inc. — Equity Deep Dive (Professional English) v20261013-1622</w:t>
      </w:r>
    </w:p>
    <w:p>
      <w:pPr>
        <w:pStyle w:val="BlockText"/>
      </w:pPr>
      <w:r>
        <w:t xml:space="preserve">Data as of 2026-10-13 16:22 SGT | Price $378.03 | Mkt cap 1,493.0 bn USD | Reporting currency USD | Not investment advice.</w:t>
      </w:r>
    </w:p>
    <w:bookmarkStart w:id="39" w:name="investment-thesis-hypothesis"/>
    <w:p>
      <w:pPr>
        <w:pStyle w:val="Heading2"/>
      </w:pPr>
      <w:r>
        <w:t xml:space="preserve">1. Investment thesis (HYPOTHESIS)</w:t>
      </w:r>
    </w:p>
    <w:p>
      <w:pPr>
        <w:pStyle w:val="FirstParagraph"/>
      </w:pPr>
      <w:r>
        <w:t xml:space="preserve">Core auto margins are compressed by price competition; valuation mostly rests on Robotaxi/FSD and Optimus optionality plus fast-growing storage. The stock is highly reflexive to autonomy milestones.</w:t>
      </w:r>
    </w:p>
    <w:p>
      <w:pPr>
        <w:pStyle w:val="Compact"/>
        <w:numPr>
          <w:ilvl w:val="0"/>
          <w:numId w:val="1009"/>
        </w:numPr>
      </w:pPr>
      <w:r>
        <w:rPr>
          <w:b/>
          <w:bCs/>
        </w:rPr>
        <w:t xml:space="preserve">Bull drivers</w:t>
      </w:r>
      <w:r>
        <w:t xml:space="preserve">: Unsupervised FSD scales across cities; Robotaxi unit economics proven; storage margins stay </w:t>
      </w:r>
      <w:r>
        <w:rPr>
          <w:rFonts w:hint="eastAsia"/>
        </w:rPr>
        <w:t xml:space="preserve">high｜无监督FSD多城扩张；Robotaxi单位经济验证；储能高毛利</w:t>
      </w:r>
    </w:p>
    <w:p>
      <w:pPr>
        <w:pStyle w:val="Compact"/>
        <w:numPr>
          <w:ilvl w:val="0"/>
          <w:numId w:val="1009"/>
        </w:numPr>
      </w:pPr>
      <w:r>
        <w:rPr>
          <w:b/>
          <w:bCs/>
        </w:rPr>
        <w:t xml:space="preserve">Bear drivers</w:t>
      </w:r>
      <w:r>
        <w:t xml:space="preserve">: Auto volumes/margins keep falling; robotaxi incidents/regulation; key-person </w:t>
      </w:r>
      <w:r>
        <w:rPr>
          <w:rFonts w:hint="eastAsia"/>
        </w:rPr>
        <w:t xml:space="preserve">risk｜销量与毛利下滑；Robotaxi事故/监管；关键人物风险</w:t>
      </w:r>
    </w:p>
    <w:p>
      <w:pPr>
        <w:pStyle w:val="Compact"/>
        <w:numPr>
          <w:ilvl w:val="0"/>
          <w:numId w:val="1009"/>
        </w:numPr>
      </w:pPr>
      <w:r>
        <w:rPr>
          <w:b/>
          <w:bCs/>
        </w:rPr>
        <w:t xml:space="preserve">Falsifiers</w:t>
      </w:r>
      <w:r>
        <w:t xml:space="preserve">: Robotaxi fleet/cities not expanding by guided dates; auto GM ex-credits declining; storage deployments </w:t>
      </w:r>
      <w:r>
        <w:rPr>
          <w:rFonts w:hint="eastAsia"/>
        </w:rPr>
        <w:t xml:space="preserve">flat｜Robotaxi未按期扩张；扣除碳积分汽车毛利下降；储能装机持平</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EV / Autonomy / Robotics / Energy storage </w:t>
      </w:r>
      <w:r>
        <w:rPr>
          <w:rFonts w:hint="eastAsia"/>
        </w:rPr>
        <w:t xml:space="preserve">电动车/自动驾驶/机器人/储能</w:t>
      </w:r>
      <w:r>
        <w:t xml:space="preserve"> | Segments: Automotive </w:t>
      </w:r>
      <w:r>
        <w:rPr>
          <w:rFonts w:hint="eastAsia"/>
        </w:rPr>
        <w:t xml:space="preserve">汽车;</w:t>
      </w:r>
      <w:r>
        <w:t xml:space="preserve"> Energy storage </w:t>
      </w:r>
      <w:r>
        <w:rPr>
          <w:rFonts w:hint="eastAsia"/>
        </w:rPr>
        <w:t xml:space="preserve">储能;</w:t>
      </w:r>
      <w:r>
        <w:t xml:space="preserve"> Services &amp; other </w:t>
      </w:r>
      <w:r>
        <w:rPr>
          <w:rFonts w:hint="eastAsia"/>
        </w:rPr>
        <w:t xml:space="preserve">服务;</w:t>
      </w:r>
      <w:r>
        <w:t xml:space="preserve"> FSD/Robotaxi option </w:t>
      </w:r>
      <w:r>
        <w:rPr>
          <w:rFonts w:hint="eastAsia"/>
        </w:rPr>
        <w:t xml:space="preserve">自动驾驶期权;</w:t>
      </w:r>
      <w:r>
        <w:t xml:space="preserve"> Optimus option </w:t>
      </w:r>
      <w:r>
        <w:rPr>
          <w:rFonts w:hint="eastAsia"/>
        </w:rPr>
        <w:t xml:space="preserve">人形机器人期权</w:t>
      </w:r>
    </w:p>
    <w:p>
      <w:pPr>
        <w:pStyle w:val="Compact"/>
        <w:numPr>
          <w:ilvl w:val="0"/>
          <w:numId w:val="1010"/>
        </w:numPr>
      </w:pPr>
      <w:r>
        <w:t xml:space="preserve">Business description (DATA): Tesla, Inc. designs, develops, manufactures, leases, and sells electric vehicles, and energy generation and storage systems in the United States, China, and internationally. The company operates in two segments, Automotive; and Energy Generation and Storage. The company offers electric vehicles, as well as sells automotive regulatory credits; and non-warranty maintenance services and collision, automotive insurance services, as well as part sales and retail merchandise sale. It also provides sedans and sport utility vehicles through direct and used vehicle sales, a network of Tesla Superchargers, and in-app upgrades; purchase financing and leasing services; services for electric vehicles through its company-owned service locations and Tesla mobile service technicians; and vehicle limited warranties and extended service plans. In addition, the company engages in the design, manufacture, i</w:t>
      </w:r>
    </w:p>
    <w:p>
      <w:pPr>
        <w:pStyle w:val="Compact"/>
        <w:numPr>
          <w:ilvl w:val="0"/>
          <w:numId w:val="1010"/>
        </w:numPr>
      </w:pPr>
      <w:r>
        <w:t xml:space="preserve">Customers: Retail auto buyers, utilities/IPPs (Megapack), FSD </w:t>
      </w:r>
      <w:r>
        <w:rPr>
          <w:rFonts w:hint="eastAsia"/>
        </w:rPr>
        <w:t xml:space="preserve">subscribers｜零售购车者、电力公司(Megapack)、FSD订阅</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Battery cells (Panasonic, LGES, CATL), chips (TSMC/Samsung for AI5), </w:t>
      </w:r>
      <w:r>
        <w:rPr>
          <w:rFonts w:hint="eastAsia"/>
        </w:rPr>
        <w:t xml:space="preserve">lithium｜电芯(松下、LGES、宁德)、芯片(台积电/三星)、锂</w:t>
      </w:r>
    </w:p>
    <w:p>
      <w:pPr>
        <w:pStyle w:val="Compact"/>
        <w:numPr>
          <w:ilvl w:val="0"/>
          <w:numId w:val="1011"/>
        </w:numPr>
      </w:pPr>
      <w:r>
        <w:t xml:space="preserve">Competitors: BYD, Geely, Waymo (robotaxi), Zoox, Chinese EV makers; Fluence/Sungrow in </w:t>
      </w:r>
      <w:r>
        <w:rPr>
          <w:rFonts w:hint="eastAsia"/>
        </w:rPr>
        <w:t xml:space="preserve">storage｜比亚迪、吉利、Waymo、Zoox；储能对手Fluence/阳光电源</w:t>
      </w:r>
    </w:p>
    <w:p>
      <w:pPr>
        <w:pStyle w:val="Compact"/>
        <w:numPr>
          <w:ilvl w:val="0"/>
          <w:numId w:val="1011"/>
        </w:numPr>
      </w:pPr>
      <w:r>
        <w:t xml:space="preserve">Bottlenecks/regulation: Robotaxi regulation (state/NHTSA), FSD safety data, cell </w:t>
      </w:r>
      <w:r>
        <w:rPr>
          <w:rFonts w:hint="eastAsia"/>
        </w:rPr>
        <w:t xml:space="preserve">supply/tariffs｜Robotaxi法规(州/NHTSA)、FSD安全数据、电芯供应与关税</w:t>
      </w:r>
    </w:p>
    <w:p>
      <w:pPr>
        <w:pStyle w:val="Compact"/>
        <w:numPr>
          <w:ilvl w:val="0"/>
          <w:numId w:val="1011"/>
        </w:numPr>
      </w:pPr>
      <w:r>
        <w:t xml:space="preserve">KPIs: Deliveries, auto GM ex-credits, storage GWh, FSD miles, robotaxi </w:t>
      </w:r>
      <w:r>
        <w:rPr>
          <w:rFonts w:hint="eastAsia"/>
        </w:rPr>
        <w:t xml:space="preserve">cities｜交付量、扣碳积分毛利、储能GWh、FSD里程、Robotaxi城市数</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28.2 bn USD</w:t>
            </w:r>
          </w:p>
        </w:tc>
        <w:tc>
          <w:tcPr/>
          <w:p>
            <w:pPr>
              <w:pStyle w:val="Compact"/>
            </w:pPr>
            <w:r>
              <w:t xml:space="preserve">4.8 bn USD</w:t>
            </w:r>
          </w:p>
        </w:tc>
        <w:tc>
          <w:tcPr/>
          <w:p>
            <w:pPr>
              <w:pStyle w:val="Compact"/>
            </w:pPr>
            <w:r>
              <w:t xml:space="preserve">0.4 bn USD</w:t>
            </w:r>
          </w:p>
        </w:tc>
        <w:tc>
          <w:tcPr/>
          <w:p>
            <w:pPr>
              <w:pStyle w:val="Compact"/>
            </w:pPr>
            <w:r>
              <w:t xml:space="preserve">1.1 bn USD</w:t>
            </w:r>
          </w:p>
        </w:tc>
        <w:tc>
          <w:tcPr/>
          <w:p>
            <w:pPr>
              <w:pStyle w:val="Compact"/>
            </w:pPr>
            <w:r>
              <w:t xml:space="preserve">-1.1 bn USD</w:t>
            </w:r>
          </w:p>
        </w:tc>
        <w:tc>
          <w:tcPr/>
          <w:p>
            <w:pPr>
              <w:pStyle w:val="Compact"/>
            </w:pPr>
            <w:r>
              <w:t xml:space="preserve">1.4%</w:t>
            </w:r>
          </w:p>
        </w:tc>
      </w:tr>
      <w:tr>
        <w:tc>
          <w:tcPr/>
          <w:p>
            <w:pPr>
              <w:pStyle w:val="Compact"/>
            </w:pPr>
            <w:r>
              <w:t xml:space="preserve">2026-03-31</w:t>
            </w:r>
          </w:p>
        </w:tc>
        <w:tc>
          <w:tcPr/>
          <w:p>
            <w:pPr>
              <w:pStyle w:val="Compact"/>
            </w:pPr>
            <w:r>
              <w:t xml:space="preserve">22.4 bn USD</w:t>
            </w:r>
          </w:p>
        </w:tc>
        <w:tc>
          <w:tcPr/>
          <w:p>
            <w:pPr>
              <w:pStyle w:val="Compact"/>
            </w:pPr>
            <w:r>
              <w:t xml:space="preserve">4.7 bn USD</w:t>
            </w:r>
          </w:p>
        </w:tc>
        <w:tc>
          <w:tcPr/>
          <w:p>
            <w:pPr>
              <w:pStyle w:val="Compact"/>
            </w:pPr>
            <w:r>
              <w:t xml:space="preserve">0.9 bn USD</w:t>
            </w:r>
          </w:p>
        </w:tc>
        <w:tc>
          <w:tcPr/>
          <w:p>
            <w:pPr>
              <w:pStyle w:val="Compact"/>
            </w:pPr>
            <w:r>
              <w:t xml:space="preserve">0.5 bn USD</w:t>
            </w:r>
          </w:p>
        </w:tc>
        <w:tc>
          <w:tcPr/>
          <w:p>
            <w:pPr>
              <w:pStyle w:val="Compact"/>
            </w:pPr>
            <w:r>
              <w:t xml:space="preserve">1.4 bn USD</w:t>
            </w:r>
          </w:p>
        </w:tc>
        <w:tc>
          <w:tcPr/>
          <w:p>
            <w:pPr>
              <w:pStyle w:val="Compact"/>
            </w:pPr>
            <w:r>
              <w:t xml:space="preserve">4.2%</w:t>
            </w:r>
          </w:p>
        </w:tc>
      </w:tr>
      <w:tr>
        <w:tc>
          <w:tcPr/>
          <w:p>
            <w:pPr>
              <w:pStyle w:val="Compact"/>
            </w:pPr>
            <w:r>
              <w:t xml:space="preserve">2025-12-31</w:t>
            </w:r>
          </w:p>
        </w:tc>
        <w:tc>
          <w:tcPr/>
          <w:p>
            <w:pPr>
              <w:pStyle w:val="Compact"/>
            </w:pPr>
            <w:r>
              <w:t xml:space="preserve">24.9 bn USD</w:t>
            </w:r>
          </w:p>
        </w:tc>
        <w:tc>
          <w:tcPr/>
          <w:p>
            <w:pPr>
              <w:pStyle w:val="Compact"/>
            </w:pPr>
            <w:r>
              <w:t xml:space="preserve">5.0 bn USD</w:t>
            </w:r>
          </w:p>
        </w:tc>
        <w:tc>
          <w:tcPr/>
          <w:p>
            <w:pPr>
              <w:pStyle w:val="Compact"/>
            </w:pPr>
            <w:r>
              <w:t xml:space="preserve">1.6 bn USD</w:t>
            </w:r>
          </w:p>
        </w:tc>
        <w:tc>
          <w:tcPr/>
          <w:p>
            <w:pPr>
              <w:pStyle w:val="Compact"/>
            </w:pPr>
            <w:r>
              <w:t xml:space="preserve">0.8 bn USD</w:t>
            </w:r>
          </w:p>
        </w:tc>
        <w:tc>
          <w:tcPr/>
          <w:p>
            <w:pPr>
              <w:pStyle w:val="Compact"/>
            </w:pPr>
            <w:r>
              <w:t xml:space="preserve">1.4 bn USD</w:t>
            </w:r>
          </w:p>
        </w:tc>
        <w:tc>
          <w:tcPr/>
          <w:p>
            <w:pPr>
              <w:pStyle w:val="Compact"/>
            </w:pPr>
            <w:r>
              <w:t xml:space="preserve">6.3%</w:t>
            </w:r>
          </w:p>
        </w:tc>
      </w:tr>
      <w:tr>
        <w:tc>
          <w:tcPr/>
          <w:p>
            <w:pPr>
              <w:pStyle w:val="Compact"/>
            </w:pPr>
            <w:r>
              <w:t xml:space="preserve">2025-09-30</w:t>
            </w:r>
          </w:p>
        </w:tc>
        <w:tc>
          <w:tcPr/>
          <w:p>
            <w:pPr>
              <w:pStyle w:val="Compact"/>
            </w:pPr>
            <w:r>
              <w:t xml:space="preserve">28.1 bn USD</w:t>
            </w:r>
          </w:p>
        </w:tc>
        <w:tc>
          <w:tcPr/>
          <w:p>
            <w:pPr>
              <w:pStyle w:val="Compact"/>
            </w:pPr>
            <w:r>
              <w:t xml:space="preserve">5.1 bn USD</w:t>
            </w:r>
          </w:p>
        </w:tc>
        <w:tc>
          <w:tcPr/>
          <w:p>
            <w:pPr>
              <w:pStyle w:val="Compact"/>
            </w:pPr>
            <w:r>
              <w:t xml:space="preserve">1.9 bn USD</w:t>
            </w:r>
          </w:p>
        </w:tc>
        <w:tc>
          <w:tcPr/>
          <w:p>
            <w:pPr>
              <w:pStyle w:val="Compact"/>
            </w:pPr>
            <w:r>
              <w:t xml:space="preserve">1.4 bn USD</w:t>
            </w:r>
          </w:p>
        </w:tc>
        <w:tc>
          <w:tcPr/>
          <w:p>
            <w:pPr>
              <w:pStyle w:val="Compact"/>
            </w:pPr>
            <w:r>
              <w:t xml:space="preserve">4.0 bn USD</w:t>
            </w:r>
          </w:p>
        </w:tc>
        <w:tc>
          <w:tcPr/>
          <w:p>
            <w:pPr>
              <w:pStyle w:val="Compact"/>
            </w:pPr>
            <w:r>
              <w:t xml:space="preserve">6.6%</w:t>
            </w:r>
          </w:p>
        </w:tc>
      </w:tr>
      <w:tr>
        <w:tc>
          <w:tcPr/>
          <w:p>
            <w:pPr>
              <w:pStyle w:val="Compact"/>
            </w:pPr>
            <w:r>
              <w:t xml:space="preserve">2025-06-30</w:t>
            </w:r>
          </w:p>
        </w:tc>
        <w:tc>
          <w:tcPr/>
          <w:p>
            <w:pPr>
              <w:pStyle w:val="Compact"/>
            </w:pPr>
            <w:r>
              <w:t xml:space="preserve">22.5 bn USD</w:t>
            </w:r>
          </w:p>
        </w:tc>
        <w:tc>
          <w:tcPr/>
          <w:p>
            <w:pPr>
              <w:pStyle w:val="Compact"/>
            </w:pPr>
            <w:r>
              <w:t xml:space="preserve">3.9 bn USD</w:t>
            </w:r>
          </w:p>
        </w:tc>
        <w:tc>
          <w:tcPr/>
          <w:p>
            <w:pPr>
              <w:pStyle w:val="Compact"/>
            </w:pPr>
            <w:r>
              <w:t xml:space="preserve">0.9 bn USD</w:t>
            </w:r>
          </w:p>
        </w:tc>
        <w:tc>
          <w:tcPr/>
          <w:p>
            <w:pPr>
              <w:pStyle w:val="Compact"/>
            </w:pPr>
            <w:r>
              <w:t xml:space="preserve">1.2 bn USD</w:t>
            </w:r>
          </w:p>
        </w:tc>
        <w:tc>
          <w:tcPr/>
          <w:p>
            <w:pPr>
              <w:pStyle w:val="Compact"/>
            </w:pPr>
            <w:r>
              <w:t xml:space="preserve">0.1 bn USD</w:t>
            </w:r>
          </w:p>
        </w:tc>
        <w:tc>
          <w:tcPr/>
          <w:p>
            <w:pPr>
              <w:pStyle w:val="Compact"/>
            </w:pPr>
            <w:r>
              <w:t xml:space="preserve">4.1%</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43.5 bn USD; debt 16.1 bn USD; TTM FCF 5.8 bn USD (FCF margin 5.6%).</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0.5</w:t>
            </w:r>
          </w:p>
        </w:tc>
        <w:tc>
          <w:tcPr/>
          <w:p>
            <w:pPr>
              <w:pStyle w:val="Compact"/>
            </w:pPr>
            <w:r>
              <w:t xml:space="preserve">0.55885</w:t>
            </w:r>
          </w:p>
        </w:tc>
        <w:tc>
          <w:tcPr/>
          <w:p>
            <w:pPr>
              <w:pStyle w:val="Compact"/>
            </w:pPr>
            <w:r>
              <w:t xml:space="preserve">-0.105299994</w:t>
            </w:r>
          </w:p>
        </w:tc>
      </w:tr>
      <w:tr>
        <w:tc>
          <w:tcPr/>
          <w:p>
            <w:pPr>
              <w:pStyle w:val="Compact"/>
            </w:pPr>
            <w:r>
              <w:t xml:space="preserve">2025-12-31</w:t>
            </w:r>
          </w:p>
        </w:tc>
        <w:tc>
          <w:tcPr/>
          <w:p>
            <w:pPr>
              <w:pStyle w:val="Compact"/>
            </w:pPr>
            <w:r>
              <w:t xml:space="preserve">0.5</w:t>
            </w:r>
          </w:p>
        </w:tc>
        <w:tc>
          <w:tcPr/>
          <w:p>
            <w:pPr>
              <w:pStyle w:val="Compact"/>
            </w:pPr>
            <w:r>
              <w:t xml:space="preserve">0.45061</w:t>
            </w:r>
          </w:p>
        </w:tc>
        <w:tc>
          <w:tcPr/>
          <w:p>
            <w:pPr>
              <w:pStyle w:val="Compact"/>
            </w:pPr>
            <w:r>
              <w:t xml:space="preserve">0.1096</w:t>
            </w:r>
          </w:p>
        </w:tc>
      </w:tr>
      <w:tr>
        <w:tc>
          <w:tcPr/>
          <w:p>
            <w:pPr>
              <w:pStyle w:val="Compact"/>
            </w:pPr>
            <w:r>
              <w:t xml:space="preserve">2026-03-31</w:t>
            </w:r>
          </w:p>
        </w:tc>
        <w:tc>
          <w:tcPr/>
          <w:p>
            <w:pPr>
              <w:pStyle w:val="Compact"/>
            </w:pPr>
            <w:r>
              <w:t xml:space="preserve">0.41</w:t>
            </w:r>
          </w:p>
        </w:tc>
        <w:tc>
          <w:tcPr/>
          <w:p>
            <w:pPr>
              <w:pStyle w:val="Compact"/>
            </w:pPr>
            <w:r>
              <w:t xml:space="preserve">0.34999</w:t>
            </w:r>
          </w:p>
        </w:tc>
        <w:tc>
          <w:tcPr/>
          <w:p>
            <w:pPr>
              <w:pStyle w:val="Compact"/>
            </w:pPr>
            <w:r>
              <w:t xml:space="preserve">0.1715</w:t>
            </w:r>
          </w:p>
        </w:tc>
      </w:tr>
      <w:tr>
        <w:tc>
          <w:tcPr/>
          <w:p>
            <w:pPr>
              <w:pStyle w:val="Compact"/>
            </w:pPr>
            <w:r>
              <w:t xml:space="preserve">2026-06-30</w:t>
            </w:r>
          </w:p>
        </w:tc>
        <w:tc>
          <w:tcPr/>
          <w:p>
            <w:pPr>
              <w:pStyle w:val="Compact"/>
            </w:pPr>
            <w:r>
              <w:t xml:space="preserve">0.33</w:t>
            </w:r>
          </w:p>
        </w:tc>
        <w:tc>
          <w:tcPr/>
          <w:p>
            <w:pPr>
              <w:pStyle w:val="Compact"/>
            </w:pPr>
            <w:r>
              <w:t xml:space="preserve">0.54236</w:t>
            </w:r>
          </w:p>
        </w:tc>
        <w:tc>
          <w:tcPr/>
          <w:p>
            <w:pPr>
              <w:pStyle w:val="Compact"/>
            </w:pPr>
            <w:r>
              <w:t xml:space="preserve">-0.39150003</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2026-10-22</w:t>
      </w:r>
      <w:r>
        <w:t xml:space="preserve">; current-quarter EPS consensus 0.44952 (24 analysts); revenue consensus 28.1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$32.06</w:t>
            </w:r>
          </w:p>
        </w:tc>
        <w:tc>
          <w:tcPr/>
          <w:p>
            <w:pPr>
              <w:pStyle w:val="Compact"/>
            </w:pPr>
            <w:r>
              <w:t xml:space="preserve">-91.5%</w:t>
            </w:r>
          </w:p>
        </w:tc>
      </w:tr>
      <w:tr>
        <w:tc>
          <w:tcPr/>
          <w:p>
            <w:pPr>
              <w:pStyle w:val="Compact"/>
            </w:pPr>
            <w:r>
              <w:t xml:space="preserve">2Q</w:t>
            </w:r>
          </w:p>
        </w:tc>
        <w:tc>
          <w:tcPr/>
          <w:p>
            <w:pPr>
              <w:pStyle w:val="Compact"/>
            </w:pPr>
            <w:r>
              <w:t xml:space="preserve">Base</w:t>
            </w:r>
          </w:p>
        </w:tc>
        <w:tc>
          <w:tcPr/>
          <w:p>
            <w:pPr>
              <w:pStyle w:val="Compact"/>
            </w:pPr>
            <w:r>
              <w:t xml:space="preserve">$57.95</w:t>
            </w:r>
          </w:p>
        </w:tc>
        <w:tc>
          <w:tcPr/>
          <w:p>
            <w:pPr>
              <w:pStyle w:val="Compact"/>
            </w:pPr>
            <w:r>
              <w:t xml:space="preserve">-84.7%</w:t>
            </w:r>
          </w:p>
        </w:tc>
      </w:tr>
      <w:tr>
        <w:tc>
          <w:tcPr/>
          <w:p>
            <w:pPr>
              <w:pStyle w:val="Compact"/>
            </w:pPr>
            <w:r>
              <w:t xml:space="preserve">2Q</w:t>
            </w:r>
          </w:p>
        </w:tc>
        <w:tc>
          <w:tcPr/>
          <w:p>
            <w:pPr>
              <w:pStyle w:val="Compact"/>
            </w:pPr>
            <w:r>
              <w:t xml:space="preserve">Bull</w:t>
            </w:r>
          </w:p>
        </w:tc>
        <w:tc>
          <w:tcPr/>
          <w:p>
            <w:pPr>
              <w:pStyle w:val="Compact"/>
            </w:pPr>
            <w:r>
              <w:t xml:space="preserve">$87.59</w:t>
            </w:r>
          </w:p>
        </w:tc>
        <w:tc>
          <w:tcPr/>
          <w:p>
            <w:pPr>
              <w:pStyle w:val="Compact"/>
            </w:pPr>
            <w:r>
              <w:t xml:space="preserve">-76.8%</w:t>
            </w:r>
          </w:p>
        </w:tc>
      </w:tr>
      <w:tr>
        <w:tc>
          <w:tcPr/>
          <w:p>
            <w:pPr>
              <w:pStyle w:val="Compact"/>
            </w:pPr>
            <w:r>
              <w:t xml:space="preserve">4Q</w:t>
            </w:r>
          </w:p>
        </w:tc>
        <w:tc>
          <w:tcPr/>
          <w:p>
            <w:pPr>
              <w:pStyle w:val="Compact"/>
            </w:pPr>
            <w:r>
              <w:t xml:space="preserve">Bear</w:t>
            </w:r>
          </w:p>
        </w:tc>
        <w:tc>
          <w:tcPr/>
          <w:p>
            <w:pPr>
              <w:pStyle w:val="Compact"/>
            </w:pPr>
            <w:r>
              <w:t xml:space="preserve">$31.76</w:t>
            </w:r>
          </w:p>
        </w:tc>
        <w:tc>
          <w:tcPr/>
          <w:p>
            <w:pPr>
              <w:pStyle w:val="Compact"/>
            </w:pPr>
            <w:r>
              <w:t xml:space="preserve">-91.6%</w:t>
            </w:r>
          </w:p>
        </w:tc>
      </w:tr>
      <w:tr>
        <w:tc>
          <w:tcPr/>
          <w:p>
            <w:pPr>
              <w:pStyle w:val="Compact"/>
            </w:pPr>
            <w:r>
              <w:t xml:space="preserve">4Q</w:t>
            </w:r>
          </w:p>
        </w:tc>
        <w:tc>
          <w:tcPr/>
          <w:p>
            <w:pPr>
              <w:pStyle w:val="Compact"/>
            </w:pPr>
            <w:r>
              <w:t xml:space="preserve">Base</w:t>
            </w:r>
          </w:p>
        </w:tc>
        <w:tc>
          <w:tcPr/>
          <w:p>
            <w:pPr>
              <w:pStyle w:val="Compact"/>
            </w:pPr>
            <w:r>
              <w:t xml:space="preserve">$60.97</w:t>
            </w:r>
          </w:p>
        </w:tc>
        <w:tc>
          <w:tcPr/>
          <w:p>
            <w:pPr>
              <w:pStyle w:val="Compact"/>
            </w:pPr>
            <w:r>
              <w:t xml:space="preserve">-83.9%</w:t>
            </w:r>
          </w:p>
        </w:tc>
      </w:tr>
      <w:tr>
        <w:tc>
          <w:tcPr/>
          <w:p>
            <w:pPr>
              <w:pStyle w:val="Compact"/>
            </w:pPr>
            <w:r>
              <w:t xml:space="preserve">4Q</w:t>
            </w:r>
          </w:p>
        </w:tc>
        <w:tc>
          <w:tcPr/>
          <w:p>
            <w:pPr>
              <w:pStyle w:val="Compact"/>
            </w:pPr>
            <w:r>
              <w:t xml:space="preserve">Bull</w:t>
            </w:r>
          </w:p>
        </w:tc>
        <w:tc>
          <w:tcPr/>
          <w:p>
            <w:pPr>
              <w:pStyle w:val="Compact"/>
            </w:pPr>
            <w:r>
              <w:t xml:space="preserve">$95.69</w:t>
            </w:r>
          </w:p>
        </w:tc>
        <w:tc>
          <w:tcPr/>
          <w:p>
            <w:pPr>
              <w:pStyle w:val="Compact"/>
            </w:pPr>
            <w:r>
              <w:t xml:space="preserve">-74.7%</w:t>
            </w:r>
          </w:p>
        </w:tc>
      </w:tr>
      <w:tr>
        <w:tc>
          <w:tcPr/>
          <w:p>
            <w:pPr>
              <w:pStyle w:val="Compact"/>
            </w:pPr>
            <w:r>
              <w:t xml:space="preserve">6Q</w:t>
            </w:r>
          </w:p>
        </w:tc>
        <w:tc>
          <w:tcPr/>
          <w:p>
            <w:pPr>
              <w:pStyle w:val="Compact"/>
            </w:pPr>
            <w:r>
              <w:t xml:space="preserve">Bear</w:t>
            </w:r>
          </w:p>
        </w:tc>
        <w:tc>
          <w:tcPr/>
          <w:p>
            <w:pPr>
              <w:pStyle w:val="Compact"/>
            </w:pPr>
            <w:r>
              <w:t xml:space="preserve">$31.45</w:t>
            </w:r>
          </w:p>
        </w:tc>
        <w:tc>
          <w:tcPr/>
          <w:p>
            <w:pPr>
              <w:pStyle w:val="Compact"/>
            </w:pPr>
            <w:r>
              <w:t xml:space="preserve">-91.7%</w:t>
            </w:r>
          </w:p>
        </w:tc>
      </w:tr>
      <w:tr>
        <w:tc>
          <w:tcPr/>
          <w:p>
            <w:pPr>
              <w:pStyle w:val="Compact"/>
            </w:pPr>
            <w:r>
              <w:t xml:space="preserve">6Q</w:t>
            </w:r>
          </w:p>
        </w:tc>
        <w:tc>
          <w:tcPr/>
          <w:p>
            <w:pPr>
              <w:pStyle w:val="Compact"/>
            </w:pPr>
            <w:r>
              <w:t xml:space="preserve">Base</w:t>
            </w:r>
          </w:p>
        </w:tc>
        <w:tc>
          <w:tcPr/>
          <w:p>
            <w:pPr>
              <w:pStyle w:val="Compact"/>
            </w:pPr>
            <w:r>
              <w:t xml:space="preserve">$64.03</w:t>
            </w:r>
          </w:p>
        </w:tc>
        <w:tc>
          <w:tcPr/>
          <w:p>
            <w:pPr>
              <w:pStyle w:val="Compact"/>
            </w:pPr>
            <w:r>
              <w:t xml:space="preserve">-83.1%</w:t>
            </w:r>
          </w:p>
        </w:tc>
      </w:tr>
      <w:tr>
        <w:tc>
          <w:tcPr/>
          <w:p>
            <w:pPr>
              <w:pStyle w:val="Compact"/>
            </w:pPr>
            <w:r>
              <w:t xml:space="preserve">6Q</w:t>
            </w:r>
          </w:p>
        </w:tc>
        <w:tc>
          <w:tcPr/>
          <w:p>
            <w:pPr>
              <w:pStyle w:val="Compact"/>
            </w:pPr>
            <w:r>
              <w:t xml:space="preserve">Bull</w:t>
            </w:r>
          </w:p>
        </w:tc>
        <w:tc>
          <w:tcPr/>
          <w:p>
            <w:pPr>
              <w:pStyle w:val="Compact"/>
            </w:pPr>
            <w:r>
              <w:t xml:space="preserve">$104.15</w:t>
            </w:r>
          </w:p>
        </w:tc>
        <w:tc>
          <w:tcPr/>
          <w:p>
            <w:pPr>
              <w:pStyle w:val="Compact"/>
            </w:pPr>
            <w:r>
              <w:t xml:space="preserve">-72.4%</w:t>
            </w:r>
          </w:p>
        </w:tc>
      </w:tr>
      <w:tr>
        <w:tc>
          <w:tcPr/>
          <w:p>
            <w:pPr>
              <w:pStyle w:val="Compact"/>
            </w:pPr>
            <w:r>
              <w:t xml:space="preserve">8Q</w:t>
            </w:r>
          </w:p>
        </w:tc>
        <w:tc>
          <w:tcPr/>
          <w:p>
            <w:pPr>
              <w:pStyle w:val="Compact"/>
            </w:pPr>
            <w:r>
              <w:t xml:space="preserve">Bear</w:t>
            </w:r>
          </w:p>
        </w:tc>
        <w:tc>
          <w:tcPr/>
          <w:p>
            <w:pPr>
              <w:pStyle w:val="Compact"/>
            </w:pPr>
            <w:r>
              <w:t xml:space="preserve">$31.14</w:t>
            </w:r>
          </w:p>
        </w:tc>
        <w:tc>
          <w:tcPr/>
          <w:p>
            <w:pPr>
              <w:pStyle w:val="Compact"/>
            </w:pPr>
            <w:r>
              <w:t xml:space="preserve">-91.8%</w:t>
            </w:r>
          </w:p>
        </w:tc>
      </w:tr>
      <w:tr>
        <w:tc>
          <w:tcPr/>
          <w:p>
            <w:pPr>
              <w:pStyle w:val="Compact"/>
            </w:pPr>
            <w:r>
              <w:t xml:space="preserve">8Q</w:t>
            </w:r>
          </w:p>
        </w:tc>
        <w:tc>
          <w:tcPr/>
          <w:p>
            <w:pPr>
              <w:pStyle w:val="Compact"/>
            </w:pPr>
            <w:r>
              <w:t xml:space="preserve">Base</w:t>
            </w:r>
          </w:p>
        </w:tc>
        <w:tc>
          <w:tcPr/>
          <w:p>
            <w:pPr>
              <w:pStyle w:val="Compact"/>
            </w:pPr>
            <w:r>
              <w:t xml:space="preserve">$67.12</w:t>
            </w:r>
          </w:p>
        </w:tc>
        <w:tc>
          <w:tcPr/>
          <w:p>
            <w:pPr>
              <w:pStyle w:val="Compact"/>
            </w:pPr>
            <w:r>
              <w:t xml:space="preserve">-82.2%</w:t>
            </w:r>
          </w:p>
        </w:tc>
      </w:tr>
      <w:tr>
        <w:tc>
          <w:tcPr/>
          <w:p>
            <w:pPr>
              <w:pStyle w:val="Compact"/>
            </w:pPr>
            <w:r>
              <w:t xml:space="preserve">8Q</w:t>
            </w:r>
          </w:p>
        </w:tc>
        <w:tc>
          <w:tcPr/>
          <w:p>
            <w:pPr>
              <w:pStyle w:val="Compact"/>
            </w:pPr>
            <w:r>
              <w:t xml:space="preserve">Bull</w:t>
            </w:r>
          </w:p>
        </w:tc>
        <w:tc>
          <w:tcPr/>
          <w:p>
            <w:pPr>
              <w:pStyle w:val="Compact"/>
            </w:pPr>
            <w:r>
              <w:t xml:space="preserve">$112.97</w:t>
            </w:r>
          </w:p>
        </w:tc>
        <w:tc>
          <w:tcPr/>
          <w:p>
            <w:pPr>
              <w:pStyle w:val="Compact"/>
            </w:pPr>
            <w:r>
              <w:t xml:space="preserve">-70.1%</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169.6x</w:t>
            </w:r>
          </w:p>
        </w:tc>
      </w:tr>
      <w:tr>
        <w:tc>
          <w:tcPr/>
          <w:p>
            <w:pPr>
              <w:pStyle w:val="Compact"/>
            </w:pPr>
            <w:r>
              <w:t xml:space="preserve">4Q</w:t>
            </w:r>
          </w:p>
        </w:tc>
        <w:tc>
          <w:tcPr/>
          <w:p>
            <w:pPr>
              <w:pStyle w:val="Compact"/>
            </w:pPr>
            <w:r>
              <w:t xml:space="preserve">149.4x</w:t>
            </w:r>
          </w:p>
        </w:tc>
      </w:tr>
      <w:tr>
        <w:tc>
          <w:tcPr/>
          <w:p>
            <w:pPr>
              <w:pStyle w:val="Compact"/>
            </w:pPr>
            <w:r>
              <w:t xml:space="preserve">6Q</w:t>
            </w:r>
          </w:p>
        </w:tc>
        <w:tc>
          <w:tcPr/>
          <w:p>
            <w:pPr>
              <w:pStyle w:val="Compact"/>
            </w:pPr>
            <w:r>
              <w:t xml:space="preserve">132.2x</w:t>
            </w:r>
          </w:p>
        </w:tc>
      </w:tr>
      <w:tr>
        <w:tc>
          <w:tcPr/>
          <w:p>
            <w:pPr>
              <w:pStyle w:val="Compact"/>
            </w:pPr>
            <w:r>
              <w:t xml:space="preserve">8Q</w:t>
            </w:r>
          </w:p>
        </w:tc>
        <w:tc>
          <w:tcPr/>
          <w:p>
            <w:pPr>
              <w:pStyle w:val="Compact"/>
            </w:pPr>
            <w:r>
              <w:t xml:space="preserve">117.3x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6.8%</w:t>
            </w:r>
          </w:p>
        </w:tc>
        <w:tc>
          <w:tcPr/>
          <w:p>
            <w:pPr>
              <w:pStyle w:val="Compact"/>
            </w:pPr>
            <w:r>
              <w:t xml:space="preserve">8.0%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$27.39</w:t>
            </w:r>
          </w:p>
        </w:tc>
        <w:tc>
          <w:tcPr/>
          <w:p>
            <w:pPr>
              <w:pStyle w:val="Compact"/>
            </w:pPr>
            <w:r>
              <w:t xml:space="preserve">-92.8%</w:t>
            </w:r>
          </w:p>
        </w:tc>
      </w:tr>
      <w:tr>
        <w:tc>
          <w:tcPr/>
          <w:p>
            <w:pPr>
              <w:pStyle w:val="Compact"/>
            </w:pPr>
            <w:r>
              <w:t xml:space="preserve">Base</w:t>
            </w:r>
          </w:p>
        </w:tc>
        <w:tc>
          <w:tcPr/>
          <w:p>
            <w:pPr>
              <w:pStyle w:val="Compact"/>
            </w:pPr>
            <w:r>
              <w:t xml:space="preserve">13.6%</w:t>
            </w:r>
          </w:p>
        </w:tc>
        <w:tc>
          <w:tcPr/>
          <w:p>
            <w:pPr>
              <w:pStyle w:val="Compact"/>
            </w:pPr>
            <w:r>
              <w:t xml:space="preserve">10.0%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$44.20</w:t>
            </w:r>
          </w:p>
        </w:tc>
        <w:tc>
          <w:tcPr/>
          <w:p>
            <w:pPr>
              <w:pStyle w:val="Compact"/>
            </w:pPr>
            <w:r>
              <w:t xml:space="preserve">-88.3%</w:t>
            </w:r>
          </w:p>
        </w:tc>
      </w:tr>
      <w:tr>
        <w:tc>
          <w:tcPr/>
          <w:p>
            <w:pPr>
              <w:pStyle w:val="Compact"/>
            </w:pPr>
            <w:r>
              <w:t xml:space="preserve">Bull</w:t>
            </w:r>
          </w:p>
        </w:tc>
        <w:tc>
          <w:tcPr/>
          <w:p>
            <w:pPr>
              <w:pStyle w:val="Compact"/>
            </w:pPr>
            <w:r>
              <w:t xml:space="preserve">17.7%</w:t>
            </w:r>
          </w:p>
        </w:tc>
        <w:tc>
          <w:tcPr/>
          <w:p>
            <w:pPr>
              <w:pStyle w:val="Compact"/>
            </w:pPr>
            <w:r>
              <w:t xml:space="preserve">11.5%</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$61.97</w:t>
            </w:r>
          </w:p>
        </w:tc>
        <w:tc>
          <w:tcPr/>
          <w:p>
            <w:pPr>
              <w:pStyle w:val="Compact"/>
            </w:pPr>
            <w:r>
              <w:t xml:space="preserve">-83.6%</w:t>
            </w:r>
          </w:p>
        </w:tc>
      </w:tr>
    </w:tbl>
    <w:p>
      <w:pPr>
        <w:pStyle w:val="BodyText"/>
      </w:pPr>
      <w:r>
        <w:t xml:space="preserve">Probability-weighted value</w:t>
      </w:r>
      <w:r>
        <w:t xml:space="preserve"> </w:t>
      </w:r>
      <w:r>
        <w:rPr>
          <w:b/>
          <w:bCs/>
        </w:rPr>
        <w:t xml:space="preserve">$44.44</w:t>
      </w:r>
      <w:r>
        <w:t xml:space="preserve"> </w:t>
      </w:r>
      <w:r>
        <w:t xml:space="preserve">(-88.2%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147.1 bn USD; terminal share 45.3%.</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80.9%</w:t>
      </w:r>
      <w:r>
        <w:t xml:space="preserve"> </w:t>
      </w:r>
      <w:r>
        <w:t xml:space="preserve">vs consensus FY+1 13.6%.</w:t>
      </w:r>
    </w:p>
    <w:p>
      <w:pPr>
        <w:pStyle w:val="Compact"/>
        <w:numPr>
          <w:ilvl w:val="0"/>
          <w:numId w:val="1013"/>
        </w:numPr>
      </w:pPr>
      <w:r>
        <w:t xml:space="preserve">WACC (CAPM) = rf 5.2% + β 1.60 × ERP 5.0% = 13.2%.</w:t>
      </w:r>
    </w:p>
    <w:p>
      <w:pPr>
        <w:pStyle w:val="Compact"/>
        <w:numPr>
          <w:ilvl w:val="0"/>
          <w:numId w:val="1013"/>
        </w:numPr>
      </w:pPr>
      <w:r>
        <w:t xml:space="preserve">SOTP segments: Automotive </w:t>
      </w:r>
      <w:r>
        <w:rPr>
          <w:rFonts w:hint="eastAsia"/>
        </w:rPr>
        <w:t xml:space="preserve">汽车;</w:t>
      </w:r>
      <w:r>
        <w:t xml:space="preserve"> Energy storage </w:t>
      </w:r>
      <w:r>
        <w:rPr>
          <w:rFonts w:hint="eastAsia"/>
        </w:rPr>
        <w:t xml:space="preserve">储能;</w:t>
      </w:r>
      <w:r>
        <w:t xml:space="preserve"> Services &amp; other </w:t>
      </w:r>
      <w:r>
        <w:rPr>
          <w:rFonts w:hint="eastAsia"/>
        </w:rPr>
        <w:t xml:space="preserve">服务;</w:t>
      </w:r>
      <w:r>
        <w:t xml:space="preserve"> FSD/Robotaxi option </w:t>
      </w:r>
      <w:r>
        <w:rPr>
          <w:rFonts w:hint="eastAsia"/>
        </w:rPr>
        <w:t xml:space="preserve">自动驾驶期权;</w:t>
      </w:r>
      <w:r>
        <w:t xml:space="preserve"> Optimus option </w:t>
      </w:r>
      <w:r>
        <w:rPr>
          <w:rFonts w:hint="eastAsia"/>
        </w:rPr>
        <w:t xml:space="preserve">人形机器人期权</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Auto volumes/margins keep falling; robotaxi incidents/regulation; key-person </w:t>
      </w:r>
      <w:r>
        <w:rPr>
          <w:rFonts w:hint="eastAsia"/>
        </w:rPr>
        <w:t xml:space="preserve">risk｜销量与毛利下滑；Robotaxi事故/监管；关键人物风险</w:t>
      </w:r>
      <w:r>
        <w:t xml:space="preserve"> | Falsifiers: Robotaxi fleet/cities not expanding by guided dates; auto GM ex-credits declining; storage deployments </w:t>
      </w:r>
      <w:r>
        <w:rPr>
          <w:rFonts w:hint="eastAsia"/>
        </w:rPr>
        <w:t xml:space="preserve">flat｜Robotaxi未按期扩张；扣除碳积分汽车毛利下降；储能装机持平</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TSLA_model_v20261013-1622.xlsx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data/snapshots/20261013-1622</w:t>
      </w:r>
      <w:r>
        <w:t xml:space="preserve"> </w:t>
      </w:r>
      <w:r>
        <w:t xml:space="preserve">(immutable) | Fetched 2026-10-13 16:22 SGT | Generated 2026-10-13 16:23 SGT</w:t>
      </w:r>
      <w:r>
        <w:t xml:space="preserve"> </w:t>
      </w:r>
      <w:r>
        <w:t xml:space="preserve">- Version: v20261013-1622.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2026-10-13T08:23:27Z</dcterms:created>
  <dcterms:modified xsi:type="dcterms:W3CDTF">2026-10-13T08:23:27Z</dcterms:modified>
</cp:coreProperties>
</file>

<file path=docProps/custom.xml><?xml version="1.0" encoding="utf-8"?>
<Properties xmlns="http://schemas.openxmlformats.org/officeDocument/2006/custom-properties" xmlns:vt="http://schemas.openxmlformats.org/officeDocument/2006/docPropsVTypes"/>
</file>