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jpg" ContentType="image/jpeg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4f87a0496f80a068e921b2d780af4b8083a48b4"/>
    <w:p>
      <w:pPr>
        <w:pStyle w:val="Heading1"/>
      </w:pPr>
      <w:r>
        <w:t xml:space="preserve">AMAT Applied Materials,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  <w:r>
        <w:t xml:space="preserve"> </w:t>
      </w:r>
      <w:r>
        <w:rPr>
          <w:rFonts w:hint="eastAsia"/>
        </w:rPr>
        <w:t xml:space="preserve">关联新闻解读图：</w:t>
      </w:r>
      <w:hyperlink r:id="rId9">
        <w:r>
          <w:rPr>
            <w:rStyle w:val="Hyperlink"/>
            <w:rFonts w:hint="eastAsia"/>
          </w:rPr>
          <w:t xml:space="preserve">长鑫</w:t>
        </w:r>
        <w:r>
          <w:rPr>
            <w:rStyle w:val="Hyperlink"/>
          </w:rPr>
          <w:t xml:space="preserve"> 4F² DRAM </w:t>
        </w:r>
        <w:r>
          <w:rPr>
            <w:rStyle w:val="Hyperlink"/>
            <w:rFonts w:hint="eastAsia"/>
          </w:rPr>
          <w:t xml:space="preserve">冲击（新闻解读图）</w:t>
        </w:r>
      </w:hyperlink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Applied Materials,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$464.24；距</w:t>
      </w:r>
      <w:r>
        <w:t xml:space="preserve"> 2026-06-30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-31.1%。主题：Semiconductor</w:t>
      </w:r>
      <w:r>
        <w:t xml:space="preserve"> equipment (WFE) </w:t>
      </w:r>
      <w:r>
        <w:rPr>
          <w:rFonts w:hint="eastAsia"/>
        </w:rPr>
        <w:t xml:space="preserve">半导体设备。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46.4%，一致预期</w:t>
      </w:r>
      <w:r>
        <w:t xml:space="preserve"> </w:t>
      </w:r>
      <w:r>
        <w:rPr>
          <w:rFonts w:hint="eastAsia"/>
        </w:rPr>
        <w:t xml:space="preserve">35.2%；三情景价值</w:t>
      </w:r>
      <w:r>
        <w:t xml:space="preserve"> $120/$315/$578。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2026-11-13（TENTATIVE</w:t>
      </w:r>
      <w:r>
        <w:t xml:space="preserve"> </w:t>
      </w:r>
      <w:r>
        <w:rPr>
          <w:rFonts w:hint="eastAsia"/>
        </w:rPr>
        <w:t xml:space="preserve">直至公司确认）；盯：系统收入、服务、毛利率、中国占比。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10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Semiconductor equipment (WFE) </w:t>
      </w:r>
      <w:r>
        <w:rPr>
          <w:rFonts w:hint="eastAsia"/>
        </w:rPr>
        <w:t xml:space="preserve">半导体设备。持有者在乎的是：应用材料是GAA、背面供电、HBM与先进封装材料工程转折的广谱受益者；中国收入占比与出口管制是主要变数。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46.4%，一致预期</w:t>
      </w:r>
      <w:r>
        <w:t xml:space="preserve"> </w:t>
      </w:r>
      <w:r>
        <w:rPr>
          <w:rFonts w:hint="eastAsia"/>
        </w:rPr>
        <w:t xml:space="preserve">35.2%——市场定价比分析师更乐观。跑率/静态</w:t>
      </w:r>
      <w:r>
        <w:t xml:space="preserve"> P/E </w:t>
      </w:r>
      <w:r>
        <w:rPr>
          <w:rFonts w:hint="eastAsia"/>
        </w:rPr>
        <w:t xml:space="preserve">40.1×、前瞻</w:t>
      </w:r>
      <w:r>
        <w:t xml:space="preserve"> P/E </w:t>
      </w:r>
      <w:r>
        <w:rPr>
          <w:rFonts w:hint="eastAsia"/>
        </w:rPr>
        <w:t xml:space="preserve">25.1×（Yahoo）。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24.8%）→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50.3%）→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断点：China</w:t>
      </w:r>
      <w:r>
        <w:t xml:space="preserve"> export rules, GAA/backside power transitions, DRAM </w:t>
      </w:r>
      <w:r>
        <w:rPr>
          <w:rFonts w:hint="eastAsia"/>
        </w:rPr>
        <w:t xml:space="preserve">capex｜出口管制、GAA/背面供电、DRAM</w:t>
      </w:r>
      <w:r>
        <w:t xml:space="preserve"> Capex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Semi systems revenue guide down; China share drops without </w:t>
      </w:r>
      <w:r>
        <w:rPr>
          <w:rFonts w:hint="eastAsia"/>
        </w:rPr>
        <w:t xml:space="preserve">offset｜系统收入指引下修；中国下滑无补偿</w:t>
      </w:r>
    </w:p>
    <w:bookmarkEnd w:id="10"/>
    <w:bookmarkStart w:id="18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1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折现。AMAT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50.3%；收入同比</w:t>
      </w:r>
      <w:r>
        <w:t xml:space="preserve"> </w:t>
      </w:r>
      <w:r>
        <w:rPr>
          <w:rFonts w:hint="eastAsia"/>
        </w:rPr>
        <w:t xml:space="preserve">24.8%。新闻多数改变的是现金流预期，而非折现率。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1"/>
    <w:bookmarkStart w:id="12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竞争者：Lam</w:t>
      </w:r>
      <w:r>
        <w:t xml:space="preserve"> Research, TEL, ASML, KLA, Chinese domestic (Naura, </w:t>
      </w:r>
      <w:r>
        <w:rPr>
          <w:rFonts w:hint="eastAsia"/>
        </w:rPr>
        <w:t xml:space="preserve">AMEC)｜Lam、TEL、ASML、KLA、北方华创、中微。客户：TSMC,</w:t>
      </w:r>
      <w:r>
        <w:t xml:space="preserve"> Samsung, Intel, memory makers, Chinese </w:t>
      </w:r>
      <w:r>
        <w:rPr>
          <w:rFonts w:hint="eastAsia"/>
        </w:rPr>
        <w:t xml:space="preserve">fabs｜台积电、三星、英特尔、存储厂、中国厂。若</w:t>
      </w:r>
      <w:r>
        <w:t xml:space="preserve"> AMAT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2"/>
    <w:bookmarkStart w:id="13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看多会错，如果：China</w:t>
      </w:r>
      <w:r>
        <w:t xml:space="preserve">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3"/>
    <w:bookmarkStart w:id="14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46.4%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35.2%；近几季</w:t>
      </w:r>
      <w:r>
        <w:t xml:space="preserve"> EPS </w:t>
      </w:r>
      <w:r>
        <w:rPr>
          <w:rFonts w:hint="eastAsia"/>
        </w:rPr>
        <w:t xml:space="preserve">超预期：2025-10</w:t>
      </w:r>
      <w:r>
        <w:t xml:space="preserve"> +4% / 2026-01 +8% / 2026-04 +6% / 2026-07 +3%。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4"/>
    <w:bookmarkStart w:id="15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买方押：DRAM/HBM</w:t>
      </w:r>
      <w:r>
        <w:t xml:space="preserve"> capex surge; leading-logic ramps; services </w:t>
      </w:r>
      <w:r>
        <w:rPr>
          <w:rFonts w:hint="eastAsia"/>
        </w:rPr>
        <w:t xml:space="preserve">growth｜DRAM/HBM</w:t>
      </w:r>
      <w:r>
        <w:t xml:space="preserve"> </w:t>
      </w:r>
      <w:r>
        <w:rPr>
          <w:rFonts w:hint="eastAsia"/>
        </w:rPr>
        <w:t xml:space="preserve">Capex激增；先进逻辑；服务增长。卖方押：China</w:t>
      </w:r>
      <w:r>
        <w:t xml:space="preserve">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5"/>
    <w:bookmarkStart w:id="16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年以来最大的三次回撤：2008-03→2008-11</w:t>
      </w:r>
      <w:r>
        <w:t xml:space="preserve"> </w:t>
      </w:r>
      <w:r>
        <w:rPr>
          <w:rFonts w:hint="eastAsia"/>
        </w:rPr>
        <w:t xml:space="preserve">-62%；2022-01→2022-10</w:t>
      </w:r>
      <w:r>
        <w:t xml:space="preserve"> </w:t>
      </w:r>
      <w:r>
        <w:rPr>
          <w:rFonts w:hint="eastAsia"/>
        </w:rPr>
        <w:t xml:space="preserve">-55%；2018-03→2018-12</w:t>
      </w:r>
      <w:r>
        <w:t xml:space="preserve"> </w:t>
      </w:r>
      <w:r>
        <w:rPr>
          <w:rFonts w:hint="eastAsia"/>
        </w:rPr>
        <w:t xml:space="preserve">-52%；中位数</w:t>
      </w:r>
      <w:r>
        <w:t xml:space="preserve"> </w:t>
      </w:r>
      <w:r>
        <w:rPr>
          <w:rFonts w:hint="eastAsia"/>
        </w:rPr>
        <w:t xml:space="preserve">-55%。当前距高点</w:t>
      </w:r>
      <w:r>
        <w:t xml:space="preserve"> </w:t>
      </w:r>
      <w:r>
        <w:rPr>
          <w:rFonts w:hint="eastAsia"/>
        </w:rPr>
        <w:t xml:space="preserve">-31.1%。毛利率区间：46.5%–50.3%（本快照内）。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6"/>
    <w:bookmarkStart w:id="17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7"/>
    <w:bookmarkEnd w:id="18"/>
    <w:bookmarkStart w:id="19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应用材料是GAA、背面供电、HBM与先进封装材料工程转折的广谱受益者；中国收入占比与出口管制是主要变数。（HYPOTHESIS）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China restrictions widen; WFE flat </w:t>
      </w:r>
      <w:r>
        <w:rPr>
          <w:rFonts w:hint="eastAsia"/>
        </w:rPr>
        <w:t xml:space="preserve">2027｜管制扩大；2027</w:t>
      </w:r>
      <w:r>
        <w:t xml:space="preserve"> </w:t>
      </w:r>
      <w:r>
        <w:rPr>
          <w:rFonts w:hint="eastAsia"/>
        </w:rPr>
        <w:t xml:space="preserve">WFE持平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$464.24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$315 </w:t>
      </w:r>
      <w:r>
        <w:rPr>
          <w:rFonts w:hint="eastAsia"/>
        </w:rPr>
        <w:t xml:space="preserve">47.3%，安全边际取决于假设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2008-03→2008-11 </w:t>
      </w:r>
      <w:r>
        <w:rPr>
          <w:rFonts w:hint="eastAsia"/>
        </w:rPr>
        <w:t xml:space="preserve">-62%；2022-01→2022-10</w:t>
      </w:r>
      <w:r>
        <w:t xml:space="preserve"> </w:t>
      </w:r>
      <w:r>
        <w:rPr>
          <w:rFonts w:hint="eastAsia"/>
        </w:rPr>
        <w:t xml:space="preserve">-55%；2018-03→2018-12</w:t>
      </w:r>
      <w:r>
        <w:t xml:space="preserve"> -52%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$464.24 vs Base </w:t>
            </w:r>
            <w:r>
              <w:rPr>
                <w:rFonts w:hint="eastAsia"/>
              </w:rPr>
              <w:t xml:space="preserve">价值</w:t>
            </w:r>
            <w:r>
              <w:t xml:space="preserve"> $315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46.4% vs </w:t>
            </w:r>
            <w:r>
              <w:rPr>
                <w:rFonts w:hint="eastAsia"/>
              </w:rPr>
              <w:t xml:space="preserve">一致预期</w:t>
            </w:r>
            <w:r>
              <w:t xml:space="preserve"> 35.2%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48.8% → 50.3%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+6% → +3%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+24.8%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-31.1%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9"/>
    <w:bookmarkStart w:id="20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46.4%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24.8%）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50.3%）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Semi systems revenue, AGS, GM%, China </w:t>
            </w:r>
            <w:r>
              <w:rPr>
                <w:rFonts w:hint="eastAsia"/>
              </w:rPr>
              <w:t xml:space="preserve">%｜系统收入、服务、毛利率、中国占比</w:t>
            </w:r>
          </w:p>
        </w:tc>
        <w:tc>
          <w:tcPr/>
          <w:p>
            <w:pPr>
              <w:pStyle w:val="Compact"/>
            </w:pPr>
            <w:r>
              <w:t xml:space="preserve">Semi systems revenue guide down; China share drops without </w:t>
            </w:r>
            <w:r>
              <w:rPr>
                <w:rFonts w:hint="eastAsia"/>
              </w:rPr>
              <w:t xml:space="preserve">offset｜系统收入指引下修；中国下滑无补偿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20"/>
    <w:bookmarkStart w:id="30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2" name="Picture"/>
            <a:graphic>
              <a:graphicData uri="http://schemas.openxmlformats.org/drawingml/2006/picture">
                <pic:pic>
                  <pic:nvPicPr>
                    <pic:cNvPr descr="images/T1_利润率周期_annota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5" name="Picture"/>
            <a:graphic>
              <a:graphicData uri="http://schemas.openxmlformats.org/drawingml/2006/picture">
                <pic:pic>
                  <pic:nvPicPr>
                    <pic:cNvPr descr="images/T2_反向DCF_annot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8" name="Picture"/>
            <a:graphic>
              <a:graphicData uri="http://schemas.openxmlformats.org/drawingml/2006/picture">
                <pic:pic>
                  <pic:nvPicPr>
                    <pic:cNvPr descr="images/T3_历史回撤_annotate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30"/>
    <w:bookmarkStart w:id="34" w:name="六与新闻解读图的联系"/>
    <w:p>
      <w:pPr>
        <w:pStyle w:val="Heading2"/>
      </w:pPr>
      <w:r>
        <w:rPr>
          <w:rFonts w:hint="eastAsia"/>
        </w:rPr>
        <w:t xml:space="preserve">六、与新闻解读图的联系</w:t>
      </w:r>
    </w:p>
    <w:p>
      <w:pPr>
        <w:pStyle w:val="FirstParagraph"/>
      </w:pPr>
      <w:r>
        <w:rPr>
          <w:rFonts w:hint="eastAsia"/>
        </w:rPr>
        <w:t xml:space="preserve">二阶受益/受损两面：长鑫扩产需要设备，但出口管制限制先进设备；AMAT</w:t>
      </w:r>
      <w:r>
        <w:t xml:space="preserve"> </w:t>
      </w:r>
      <w:r>
        <w:rPr>
          <w:rFonts w:hint="eastAsia"/>
        </w:rPr>
        <w:t xml:space="preserve">中国收入占比已从约</w:t>
      </w:r>
      <w:r>
        <w:t xml:space="preserve"> 35% </w:t>
      </w:r>
      <w:r>
        <w:rPr>
          <w:rFonts w:hint="eastAsia"/>
        </w:rPr>
        <w:t xml:space="preserve">降至约</w:t>
      </w:r>
      <w:r>
        <w:t xml:space="preserve"> </w:t>
      </w:r>
      <w:r>
        <w:rPr>
          <w:rFonts w:hint="eastAsia"/>
        </w:rPr>
        <w:t xml:space="preserve">28%。若三大厂因降价削减资本开支，订单反而下降。</w:t>
      </w:r>
    </w:p>
    <w:p>
      <w:pPr>
        <w:pStyle w:val="CaptionedFigure"/>
      </w:pPr>
      <w:r>
        <w:drawing>
          <wp:inline>
            <wp:extent cx="5334000" cy="6211443"/>
            <wp:effectExtent b="0" l="0" r="0" t="0"/>
            <wp:docPr descr="新闻解读图" title="" id="32" name="Picture"/>
            <a:graphic>
              <a:graphicData uri="http://schemas.openxmlformats.org/drawingml/2006/picture">
                <pic:pic>
                  <pic:nvPicPr>
                    <pic:cNvPr descr="images/T0_CXMT_p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1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新闻解读图</w:t>
      </w:r>
    </w:p>
    <w:bookmarkEnd w:id="34"/>
    <w:bookmarkStart w:id="35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46.4%、共识</w:t>
      </w:r>
      <w:r>
        <w:t xml:space="preserve"> </w:t>
      </w:r>
      <w:r>
        <w:rPr>
          <w:rFonts w:hint="eastAsia"/>
        </w:rPr>
        <w:t xml:space="preserve">35.2%。如果公司下季’超预期’但只超共识不超隐含，股价可能怎样？为什么？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50.3%，区间</w:t>
      </w:r>
      <w:r>
        <w:t xml:space="preserve"> </w:t>
      </w:r>
      <w:r>
        <w:rPr>
          <w:rFonts w:hint="eastAsia"/>
        </w:rPr>
        <w:t xml:space="preserve">46.5%–50.3%。用’第一性原理’说明利润率下降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-55%，当前</w:t>
      </w:r>
      <w:r>
        <w:t xml:space="preserve"> </w:t>
      </w:r>
      <w:r>
        <w:rPr>
          <w:rFonts w:hint="eastAsia"/>
        </w:rPr>
        <w:t xml:space="preserve">-31.1%。为什么’已经跌了很多’不能单独作为买入理由？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5"/>
    <w:bookmarkStart w:id="36" w:name="八事后推理复盘2026-11-13-财报后填写"/>
    <w:p>
      <w:pPr>
        <w:pStyle w:val="Heading2"/>
      </w:pPr>
      <w:r>
        <w:rPr>
          <w:rFonts w:hint="eastAsia"/>
        </w:rPr>
        <w:t xml:space="preserve">八、事后推理复盘（2026-11-13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AMAT thinking-first edition. Price $464.24; -31.1% from 2026-06-30 high. Reverse DCF: price implies ~46.4% Y1 growth vs consensus 35.2%. Scenario values $120/$315/$578; WACC 13.2%. Base rates: largest drawdowns since 2008: 2008-03→2008-11 </w:t>
      </w:r>
      <w:r>
        <w:rPr>
          <w:rFonts w:hint="eastAsia"/>
        </w:rPr>
        <w:t xml:space="preserve">-62%；2022-01→2022-10</w:t>
      </w:r>
      <w:r>
        <w:t xml:space="preserve"> </w:t>
      </w:r>
      <w:r>
        <w:rPr>
          <w:rFonts w:hint="eastAsia"/>
        </w:rPr>
        <w:t xml:space="preserve">-55%；2018-03→2018-12</w:t>
      </w:r>
      <w:r>
        <w:t xml:space="preserve"> -52%. Evidence weighting 4:9 (bull:bear). Falsifiers: Semi systems revenue guide down; China share drops without </w:t>
      </w:r>
      <w:r>
        <w:rPr>
          <w:rFonts w:hint="eastAsia"/>
        </w:rPr>
        <w:t xml:space="preserve">offset｜系统收入指引下修；中国下滑无补偿.</w:t>
      </w:r>
      <w:r>
        <w:t xml:space="preserve"> Not investment advice.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jp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9" Target="../../../../new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../ne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2026-10-14T00:04:14Z</dcterms:created>
  <dcterms:modified xsi:type="dcterms:W3CDTF">2026-10-14T00:04:14Z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